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gril"/>
        <w:tblW w:w="9918" w:type="dxa"/>
        <w:tblLook w:val="04A0" w:firstRow="1" w:lastRow="0" w:firstColumn="1" w:lastColumn="0" w:noHBand="0" w:noVBand="1"/>
      </w:tblPr>
      <w:tblGrid>
        <w:gridCol w:w="1548"/>
        <w:gridCol w:w="8370"/>
      </w:tblGrid>
      <w:tr w:rsidR="00384122" w:rsidRPr="00BD084B" w14:paraId="2E1A9820" w14:textId="77777777" w:rsidTr="0091209B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EAD086B" w14:textId="77777777" w:rsidR="00384122" w:rsidRPr="00BD084B" w:rsidRDefault="00384122" w:rsidP="00D84B6F">
            <w:pPr>
              <w:ind w:left="-900"/>
              <w:jc w:val="center"/>
              <w:rPr>
                <w:rFonts w:asciiTheme="minorHAnsi" w:hAnsiTheme="minorHAnsi" w:cstheme="minorHAnsi"/>
                <w:lang w:val="ro-RO"/>
              </w:rPr>
            </w:pPr>
          </w:p>
          <w:p w14:paraId="1F28AF10" w14:textId="77777777" w:rsidR="00384122" w:rsidRPr="00BD084B" w:rsidRDefault="00F343CD" w:rsidP="00D84B6F">
            <w:pPr>
              <w:ind w:left="-900"/>
              <w:jc w:val="center"/>
              <w:rPr>
                <w:rFonts w:asciiTheme="minorHAnsi" w:hAnsiTheme="minorHAnsi" w:cstheme="minorHAnsi"/>
                <w:lang w:val="ro-RO"/>
              </w:rPr>
            </w:pPr>
            <w:r w:rsidRPr="00BD084B">
              <w:rPr>
                <w:rFonts w:asciiTheme="minorHAnsi" w:hAnsiTheme="minorHAnsi" w:cstheme="minorHAnsi"/>
                <w:noProof/>
                <w:lang w:val="ru-RU" w:eastAsia="ru-RU"/>
              </w:rPr>
              <w:drawing>
                <wp:anchor distT="0" distB="0" distL="114300" distR="114300" simplePos="0" relativeHeight="251673600" behindDoc="0" locked="0" layoutInCell="1" allowOverlap="1" wp14:anchorId="561787D0" wp14:editId="5FC20B88">
                  <wp:simplePos x="0" y="0"/>
                  <wp:positionH relativeFrom="column">
                    <wp:posOffset>370205</wp:posOffset>
                  </wp:positionH>
                  <wp:positionV relativeFrom="paragraph">
                    <wp:posOffset>-163830</wp:posOffset>
                  </wp:positionV>
                  <wp:extent cx="574040" cy="593090"/>
                  <wp:effectExtent l="19050" t="0" r="0" b="0"/>
                  <wp:wrapNone/>
                  <wp:docPr id="6" name="Рисунок 2" descr="Description: moldova_ste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Description: moldova_ste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4040" cy="593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370" w:type="dxa"/>
            <w:tcBorders>
              <w:top w:val="nil"/>
              <w:left w:val="nil"/>
              <w:bottom w:val="nil"/>
              <w:right w:val="nil"/>
            </w:tcBorders>
          </w:tcPr>
          <w:p w14:paraId="76D0C982" w14:textId="77777777" w:rsidR="005E3790" w:rsidRPr="00BD084B" w:rsidRDefault="005E3790" w:rsidP="00D84B6F">
            <w:pPr>
              <w:tabs>
                <w:tab w:val="left" w:pos="361"/>
                <w:tab w:val="center" w:pos="4677"/>
                <w:tab w:val="right" w:pos="9355"/>
              </w:tabs>
              <w:ind w:left="-900"/>
              <w:jc w:val="center"/>
              <w:rPr>
                <w:rFonts w:asciiTheme="minorHAnsi" w:eastAsia="Times New Roman" w:hAnsiTheme="minorHAnsi" w:cstheme="minorHAnsi"/>
                <w:b/>
                <w:sz w:val="28"/>
                <w:szCs w:val="28"/>
                <w:lang w:val="ro-RO" w:eastAsia="ru-RU"/>
              </w:rPr>
            </w:pPr>
          </w:p>
          <w:p w14:paraId="42CF721E" w14:textId="77777777" w:rsidR="00384122" w:rsidRPr="00BD084B" w:rsidRDefault="00384122" w:rsidP="00D84B6F">
            <w:pPr>
              <w:tabs>
                <w:tab w:val="left" w:pos="361"/>
                <w:tab w:val="center" w:pos="4677"/>
                <w:tab w:val="right" w:pos="9355"/>
              </w:tabs>
              <w:ind w:left="-900"/>
              <w:jc w:val="center"/>
              <w:rPr>
                <w:rFonts w:asciiTheme="minorHAnsi" w:eastAsia="Times New Roman" w:hAnsiTheme="minorHAnsi" w:cstheme="minorHAnsi"/>
                <w:b/>
                <w:sz w:val="28"/>
                <w:szCs w:val="28"/>
                <w:lang w:val="ro-RO" w:eastAsia="ro-RO"/>
              </w:rPr>
            </w:pPr>
            <w:r w:rsidRPr="00BD084B">
              <w:rPr>
                <w:rFonts w:asciiTheme="minorHAnsi" w:eastAsia="Times New Roman" w:hAnsiTheme="minorHAnsi" w:cstheme="minorHAnsi"/>
                <w:b/>
                <w:sz w:val="28"/>
                <w:szCs w:val="28"/>
                <w:lang w:val="ro-RO" w:eastAsia="ru-RU"/>
              </w:rPr>
              <w:t>CONSILIUL AUDIOVIZUALULUI AL REPUBLICII MOLDOVA</w:t>
            </w:r>
          </w:p>
          <w:p w14:paraId="2B59C656" w14:textId="77777777" w:rsidR="00384122" w:rsidRPr="00BD084B" w:rsidRDefault="00384122" w:rsidP="00D84B6F">
            <w:pPr>
              <w:ind w:right="-365"/>
              <w:jc w:val="center"/>
              <w:rPr>
                <w:rFonts w:asciiTheme="minorHAnsi" w:eastAsia="Times New Roman" w:hAnsiTheme="minorHAnsi" w:cstheme="minorHAnsi"/>
                <w:sz w:val="14"/>
                <w:szCs w:val="14"/>
                <w:lang w:val="ro-RO" w:eastAsia="ru-RU"/>
              </w:rPr>
            </w:pPr>
          </w:p>
        </w:tc>
      </w:tr>
    </w:tbl>
    <w:p w14:paraId="4D4AD705" w14:textId="77777777" w:rsidR="00384122" w:rsidRPr="00BD084B" w:rsidRDefault="00384122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4B27BB06" w14:textId="77777777" w:rsidR="008E53EE" w:rsidRPr="00BD084B" w:rsidRDefault="008E53EE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4E3EB7B6" w14:textId="77777777" w:rsidR="008E53EE" w:rsidRDefault="008E53EE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571A957C" w14:textId="77777777" w:rsidR="0041229F" w:rsidRPr="00BD084B" w:rsidRDefault="0041229F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31E5A41E" w14:textId="77777777" w:rsidR="004940ED" w:rsidRPr="00BD084B" w:rsidRDefault="004940ED" w:rsidP="004940ED">
      <w:pPr>
        <w:tabs>
          <w:tab w:val="left" w:pos="669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 w:eastAsia="ru-RU"/>
        </w:rPr>
      </w:pPr>
      <w:r w:rsidRPr="00BD084B">
        <w:rPr>
          <w:rFonts w:ascii="Times New Roman" w:hAnsi="Times New Roman"/>
          <w:b/>
          <w:sz w:val="28"/>
          <w:szCs w:val="24"/>
          <w:lang w:val="ro-RO" w:eastAsia="ru-RU"/>
        </w:rPr>
        <w:t xml:space="preserve">DECIZIA nr. </w:t>
      </w:r>
      <w:r w:rsidR="008E53EE" w:rsidRPr="00BD084B">
        <w:rPr>
          <w:rFonts w:ascii="Times New Roman" w:hAnsi="Times New Roman"/>
          <w:b/>
          <w:sz w:val="28"/>
          <w:szCs w:val="24"/>
          <w:lang w:val="ro-RO" w:eastAsia="ru-RU"/>
        </w:rPr>
        <w:t>98</w:t>
      </w:r>
    </w:p>
    <w:p w14:paraId="51D5E638" w14:textId="77777777" w:rsidR="004940ED" w:rsidRPr="00BD084B" w:rsidRDefault="004940ED" w:rsidP="004940E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 w:eastAsia="ru-RU"/>
        </w:rPr>
      </w:pPr>
      <w:r w:rsidRPr="00BD084B">
        <w:rPr>
          <w:rFonts w:ascii="Times New Roman" w:hAnsi="Times New Roman"/>
          <w:sz w:val="24"/>
          <w:szCs w:val="24"/>
          <w:lang w:val="ro-RO" w:eastAsia="ru-RU"/>
        </w:rPr>
        <w:t xml:space="preserve">din </w:t>
      </w:r>
      <w:r w:rsidR="008E53EE" w:rsidRPr="00BD084B">
        <w:rPr>
          <w:rFonts w:ascii="Times New Roman" w:hAnsi="Times New Roman"/>
          <w:sz w:val="24"/>
          <w:szCs w:val="24"/>
          <w:lang w:val="ro-RO" w:eastAsia="ru-RU"/>
        </w:rPr>
        <w:t>0</w:t>
      </w:r>
      <w:r w:rsidRPr="00BD084B">
        <w:rPr>
          <w:rFonts w:ascii="Times New Roman" w:hAnsi="Times New Roman"/>
          <w:sz w:val="24"/>
          <w:szCs w:val="24"/>
          <w:lang w:val="ro-RO" w:eastAsia="ru-RU"/>
        </w:rPr>
        <w:t>7 aprilie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2023</w:t>
      </w:r>
    </w:p>
    <w:p w14:paraId="15EDCB96" w14:textId="77777777" w:rsidR="004940ED" w:rsidRPr="00BD084B" w:rsidRDefault="004940ED" w:rsidP="004940ED">
      <w:pPr>
        <w:tabs>
          <w:tab w:val="left" w:pos="7800"/>
        </w:tabs>
        <w:spacing w:after="0" w:line="240" w:lineRule="auto"/>
        <w:rPr>
          <w:rFonts w:ascii="Times New Roman" w:hAnsi="Times New Roman"/>
          <w:sz w:val="24"/>
          <w:szCs w:val="24"/>
          <w:lang w:val="ro-RO" w:eastAsia="ru-RU"/>
        </w:rPr>
      </w:pPr>
      <w:r w:rsidRPr="00BD084B">
        <w:rPr>
          <w:rFonts w:ascii="Times New Roman" w:hAnsi="Times New Roman"/>
          <w:sz w:val="24"/>
          <w:szCs w:val="24"/>
          <w:lang w:val="ro-RO" w:eastAsia="ru-RU"/>
        </w:rPr>
        <w:tab/>
      </w:r>
    </w:p>
    <w:p w14:paraId="5EA7F9C7" w14:textId="77777777" w:rsidR="004940ED" w:rsidRPr="00BD084B" w:rsidRDefault="008E53EE" w:rsidP="004940ED">
      <w:pPr>
        <w:tabs>
          <w:tab w:val="left" w:pos="780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o-RO" w:eastAsia="ru-RU"/>
        </w:rPr>
      </w:pPr>
      <w:r w:rsidRPr="00BD084B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o-RO"/>
        </w:rPr>
        <w:t>Referitor</w:t>
      </w:r>
      <w:r w:rsidR="004940ED" w:rsidRPr="00BD084B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o-RO"/>
        </w:rPr>
        <w:t xml:space="preserve"> la examinarea Raportului cu privire la activitatea financiară a Consiliului Audiovizualului al Republicii Moldova pentru anul 2022</w:t>
      </w:r>
    </w:p>
    <w:p w14:paraId="6D2641A6" w14:textId="77777777" w:rsidR="004940ED" w:rsidRPr="00BD084B" w:rsidRDefault="004940ED" w:rsidP="004940ED">
      <w:pPr>
        <w:tabs>
          <w:tab w:val="left" w:pos="7800"/>
        </w:tabs>
        <w:spacing w:after="0" w:line="240" w:lineRule="auto"/>
        <w:rPr>
          <w:rFonts w:ascii="Times New Roman" w:hAnsi="Times New Roman"/>
          <w:sz w:val="24"/>
          <w:szCs w:val="24"/>
          <w:lang w:val="ro-RO" w:eastAsia="ru-RU"/>
        </w:rPr>
      </w:pPr>
      <w:r w:rsidRPr="00BD084B">
        <w:rPr>
          <w:rFonts w:ascii="Times New Roman" w:hAnsi="Times New Roman"/>
          <w:sz w:val="24"/>
          <w:szCs w:val="24"/>
          <w:lang w:val="ro-RO" w:eastAsia="ru-RU"/>
        </w:rPr>
        <w:tab/>
      </w:r>
    </w:p>
    <w:p w14:paraId="6FB16EE5" w14:textId="77777777" w:rsidR="004940ED" w:rsidRPr="00BD084B" w:rsidRDefault="004940ED" w:rsidP="004940ED">
      <w:p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o-RO" w:eastAsia="ru-RU"/>
        </w:rPr>
      </w:pPr>
      <w:r w:rsidRPr="00BD084B">
        <w:rPr>
          <w:rFonts w:ascii="Times New Roman" w:hAnsi="Times New Roman"/>
          <w:sz w:val="24"/>
          <w:szCs w:val="24"/>
          <w:lang w:val="ro-RO" w:eastAsia="ru-RU"/>
        </w:rPr>
        <w:t xml:space="preserve">În </w:t>
      </w:r>
      <w:r w:rsidRPr="00BD084B">
        <w:rPr>
          <w:rFonts w:ascii="Times New Roman" w:eastAsia="BatangChe" w:hAnsi="Times New Roman"/>
          <w:sz w:val="24"/>
          <w:szCs w:val="24"/>
          <w:lang w:val="ro-RO"/>
        </w:rPr>
        <w:t xml:space="preserve">temeiul prevederilor </w:t>
      </w:r>
      <w:r w:rsidRPr="00BD084B">
        <w:rPr>
          <w:rFonts w:ascii="Times New Roman" w:hAnsi="Times New Roman"/>
          <w:sz w:val="24"/>
          <w:szCs w:val="24"/>
          <w:lang w:val="ro-RO" w:eastAsia="ru-RU"/>
        </w:rPr>
        <w:t xml:space="preserve">art. 81 alin. (4) din </w:t>
      </w:r>
      <w:r w:rsidRPr="00BD084B">
        <w:rPr>
          <w:rFonts w:ascii="Times New Roman" w:hAnsi="Times New Roman"/>
          <w:sz w:val="24"/>
          <w:szCs w:val="24"/>
          <w:lang w:val="ro-RO"/>
        </w:rPr>
        <w:t>Codul</w:t>
      </w:r>
      <w:r w:rsidRPr="00BD084B">
        <w:rPr>
          <w:rFonts w:ascii="Times New Roman" w:eastAsia="BatangChe" w:hAnsi="Times New Roman"/>
          <w:sz w:val="24"/>
          <w:szCs w:val="24"/>
          <w:lang w:val="ro-RO"/>
        </w:rPr>
        <w:t xml:space="preserve"> serviciilor media audiovizuale al Republicii Moldova nr. 174/2018, </w:t>
      </w:r>
    </w:p>
    <w:p w14:paraId="04F82F1F" w14:textId="77777777" w:rsidR="004940ED" w:rsidRPr="00BD084B" w:rsidRDefault="004940ED" w:rsidP="004940ED">
      <w:p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o-RO" w:eastAsia="ru-RU"/>
        </w:rPr>
      </w:pPr>
    </w:p>
    <w:p w14:paraId="40346957" w14:textId="77777777" w:rsidR="004940ED" w:rsidRPr="00BD084B" w:rsidRDefault="004940ED" w:rsidP="004940ED">
      <w:pPr>
        <w:tabs>
          <w:tab w:val="left" w:pos="432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BD084B">
        <w:rPr>
          <w:rFonts w:ascii="Times New Roman" w:hAnsi="Times New Roman"/>
          <w:b/>
          <w:sz w:val="24"/>
          <w:szCs w:val="24"/>
          <w:lang w:val="ro-RO"/>
        </w:rPr>
        <w:t>Consiliul Audiovizualului al Republicii Moldova DECIDE:</w:t>
      </w:r>
    </w:p>
    <w:p w14:paraId="35BA0779" w14:textId="77777777" w:rsidR="004940ED" w:rsidRPr="00BD084B" w:rsidRDefault="004940ED" w:rsidP="004940ED">
      <w:p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o-RO" w:eastAsia="ru-RU"/>
        </w:rPr>
      </w:pPr>
    </w:p>
    <w:p w14:paraId="3CBD70C5" w14:textId="77777777" w:rsidR="004940ED" w:rsidRPr="00BD084B" w:rsidRDefault="004940ED" w:rsidP="004940ED">
      <w:pPr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o-RO" w:eastAsia="ru-RU"/>
        </w:rPr>
      </w:pPr>
      <w:r w:rsidRPr="00BD084B">
        <w:rPr>
          <w:rFonts w:ascii="Times New Roman" w:hAnsi="Times New Roman"/>
          <w:sz w:val="24"/>
          <w:szCs w:val="24"/>
          <w:lang w:val="ro-RO" w:eastAsia="ru-RU"/>
        </w:rPr>
        <w:t xml:space="preserve">1. Se aprobă </w:t>
      </w:r>
      <w:r w:rsidRPr="00BD084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o-RO"/>
        </w:rPr>
        <w:t>Raportul cu privire la activitatea financiară a Consiliului Audiovizualului al Republicii Moldova pentru anul 2022</w:t>
      </w:r>
      <w:r w:rsidRPr="00BD084B">
        <w:rPr>
          <w:rFonts w:ascii="Times New Roman" w:hAnsi="Times New Roman"/>
          <w:sz w:val="24"/>
          <w:szCs w:val="24"/>
          <w:lang w:val="ro-RO" w:eastAsia="ru-RU"/>
        </w:rPr>
        <w:t>, în anexă.</w:t>
      </w:r>
    </w:p>
    <w:p w14:paraId="4A9BF7CD" w14:textId="77777777" w:rsidR="004940ED" w:rsidRPr="00BD084B" w:rsidRDefault="008E53EE" w:rsidP="004940ED">
      <w:pPr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o-RO" w:eastAsia="ru-RU"/>
        </w:rPr>
      </w:pPr>
      <w:r w:rsidRPr="00BD084B">
        <w:rPr>
          <w:rFonts w:ascii="Times New Roman" w:hAnsi="Times New Roman"/>
          <w:sz w:val="24"/>
          <w:szCs w:val="24"/>
          <w:lang w:val="ro-RO" w:eastAsia="ru-RU"/>
        </w:rPr>
        <w:t>2</w:t>
      </w:r>
      <w:r w:rsidR="004940ED" w:rsidRPr="00BD084B">
        <w:rPr>
          <w:rFonts w:ascii="Times New Roman" w:hAnsi="Times New Roman"/>
          <w:sz w:val="24"/>
          <w:szCs w:val="24"/>
          <w:lang w:val="ro-RO" w:eastAsia="ru-RU"/>
        </w:rPr>
        <w:t>.</w:t>
      </w:r>
      <w:r w:rsidR="004940ED" w:rsidRPr="00BD084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o-RO"/>
        </w:rPr>
        <w:t xml:space="preserve"> Raportul cu privire la activitatea financiară</w:t>
      </w:r>
      <w:r w:rsidR="004940ED" w:rsidRPr="00BD084B">
        <w:rPr>
          <w:rFonts w:ascii="Times New Roman" w:hAnsi="Times New Roman"/>
          <w:sz w:val="24"/>
          <w:szCs w:val="24"/>
          <w:lang w:val="ro-RO" w:eastAsia="ru-RU"/>
        </w:rPr>
        <w:t xml:space="preserve">  a </w:t>
      </w:r>
      <w:r w:rsidR="004940ED" w:rsidRPr="00BD084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o-RO"/>
        </w:rPr>
        <w:t xml:space="preserve">Consiliului Audiovizualului al Republicii Moldova pentru anul 2022 </w:t>
      </w:r>
      <w:r w:rsidR="004940ED" w:rsidRPr="00BD084B">
        <w:rPr>
          <w:rFonts w:ascii="Times New Roman" w:hAnsi="Times New Roman"/>
          <w:sz w:val="24"/>
          <w:szCs w:val="24"/>
          <w:lang w:val="ro-RO"/>
        </w:rPr>
        <w:t xml:space="preserve"> se</w:t>
      </w:r>
      <w:r w:rsidR="004940ED" w:rsidRPr="00BD084B">
        <w:rPr>
          <w:rFonts w:ascii="Times New Roman" w:hAnsi="Times New Roman"/>
          <w:sz w:val="24"/>
          <w:szCs w:val="24"/>
          <w:lang w:val="ro-RO" w:eastAsia="ru-RU"/>
        </w:rPr>
        <w:t xml:space="preserve"> publică în Monitorul Oficial al Republicii Moldova  și pe pagina </w:t>
      </w:r>
      <w:r w:rsidR="004940ED" w:rsidRPr="00BD084B">
        <w:rPr>
          <w:rFonts w:ascii="Times New Roman" w:hAnsi="Times New Roman"/>
          <w:sz w:val="24"/>
          <w:szCs w:val="24"/>
          <w:lang w:val="ro-RO"/>
        </w:rPr>
        <w:t xml:space="preserve">web oficială a </w:t>
      </w:r>
      <w:r w:rsidRPr="00BD084B">
        <w:rPr>
          <w:rFonts w:ascii="Times New Roman" w:hAnsi="Times New Roman"/>
          <w:sz w:val="24"/>
          <w:szCs w:val="24"/>
          <w:lang w:val="ro-RO"/>
        </w:rPr>
        <w:t>C</w:t>
      </w:r>
      <w:r w:rsidR="004940ED" w:rsidRPr="00BD084B">
        <w:rPr>
          <w:rFonts w:ascii="Times New Roman" w:hAnsi="Times New Roman"/>
          <w:sz w:val="24"/>
          <w:szCs w:val="24"/>
          <w:lang w:val="ro-RO"/>
        </w:rPr>
        <w:t>onsiliului</w:t>
      </w:r>
      <w:r w:rsidRPr="00BD084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o-RO"/>
        </w:rPr>
        <w:t xml:space="preserve"> Audiovizualului</w:t>
      </w:r>
      <w:r w:rsidR="004940ED" w:rsidRPr="00BD084B">
        <w:rPr>
          <w:rFonts w:ascii="Times New Roman" w:hAnsi="Times New Roman"/>
          <w:sz w:val="24"/>
          <w:szCs w:val="24"/>
          <w:lang w:val="ro-RO" w:eastAsia="ru-RU"/>
        </w:rPr>
        <w:t xml:space="preserve">. </w:t>
      </w:r>
    </w:p>
    <w:p w14:paraId="5C7E6330" w14:textId="77777777" w:rsidR="004940ED" w:rsidRPr="00BD084B" w:rsidRDefault="00AC7F64" w:rsidP="004940ED">
      <w:pPr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o-RO" w:eastAsia="ru-RU"/>
        </w:rPr>
      </w:pPr>
      <w:r w:rsidRPr="00BD084B">
        <w:rPr>
          <w:rFonts w:ascii="Times New Roman" w:hAnsi="Times New Roman"/>
          <w:sz w:val="24"/>
          <w:szCs w:val="24"/>
          <w:lang w:val="ro-RO" w:eastAsia="ru-RU"/>
        </w:rPr>
        <w:t>3</w:t>
      </w:r>
      <w:r w:rsidR="004940ED" w:rsidRPr="00BD084B">
        <w:rPr>
          <w:rFonts w:ascii="Times New Roman" w:hAnsi="Times New Roman"/>
          <w:sz w:val="24"/>
          <w:szCs w:val="24"/>
          <w:lang w:val="ro-RO" w:eastAsia="ru-RU"/>
        </w:rPr>
        <w:t xml:space="preserve">. </w:t>
      </w:r>
      <w:r w:rsidR="004940ED" w:rsidRPr="00BD084B">
        <w:rPr>
          <w:rFonts w:ascii="Times New Roman" w:hAnsi="Times New Roman"/>
          <w:sz w:val="24"/>
          <w:szCs w:val="24"/>
          <w:lang w:val="ro-RO"/>
        </w:rPr>
        <w:t xml:space="preserve">Controlul asupra executării prezentei decizii se pune în sarcina </w:t>
      </w:r>
      <w:r w:rsidR="004940ED" w:rsidRPr="00BD084B">
        <w:rPr>
          <w:rFonts w:ascii="Times New Roman" w:hAnsi="Times New Roman"/>
          <w:sz w:val="24"/>
          <w:szCs w:val="24"/>
          <w:lang w:val="ro-RO" w:eastAsia="ru-RU"/>
        </w:rPr>
        <w:t>Președintei Consiliului Audiovizualului, Liliana Vițu-Eșanu.</w:t>
      </w:r>
    </w:p>
    <w:p w14:paraId="77B021F8" w14:textId="77777777" w:rsidR="004940ED" w:rsidRPr="00BD084B" w:rsidRDefault="00AC7F64" w:rsidP="004940ED">
      <w:pPr>
        <w:tabs>
          <w:tab w:val="left" w:pos="993"/>
          <w:tab w:val="left" w:pos="1067"/>
          <w:tab w:val="left" w:pos="127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 w:eastAsia="ru-RU"/>
        </w:rPr>
        <w:t>4</w:t>
      </w:r>
      <w:r w:rsidR="004940ED" w:rsidRPr="00BD084B">
        <w:rPr>
          <w:rFonts w:ascii="Times New Roman" w:hAnsi="Times New Roman"/>
          <w:sz w:val="24"/>
          <w:szCs w:val="24"/>
          <w:lang w:val="ro-RO" w:eastAsia="ru-RU"/>
        </w:rPr>
        <w:t xml:space="preserve">. </w:t>
      </w:r>
      <w:r w:rsidR="004940ED" w:rsidRPr="00BD084B">
        <w:rPr>
          <w:rFonts w:ascii="Times New Roman" w:hAnsi="Times New Roman"/>
          <w:sz w:val="24"/>
          <w:szCs w:val="24"/>
          <w:lang w:val="ro-RO"/>
        </w:rPr>
        <w:t xml:space="preserve">Prezenta decizie intră în vigoare la data adoptării. </w:t>
      </w:r>
    </w:p>
    <w:p w14:paraId="3B1418C3" w14:textId="77777777" w:rsidR="004940ED" w:rsidRPr="00BD084B" w:rsidRDefault="004940ED" w:rsidP="004940ED">
      <w:pPr>
        <w:tabs>
          <w:tab w:val="left" w:pos="993"/>
          <w:tab w:val="left" w:pos="1067"/>
          <w:tab w:val="left" w:pos="127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o-RO" w:eastAsia="ru-RU"/>
        </w:rPr>
      </w:pPr>
    </w:p>
    <w:p w14:paraId="0D06B973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 w:eastAsia="ru-RU"/>
        </w:rPr>
      </w:pPr>
    </w:p>
    <w:p w14:paraId="560524A0" w14:textId="77777777" w:rsidR="004940ED" w:rsidRPr="00BD084B" w:rsidRDefault="00AC7F64" w:rsidP="004940ED">
      <w:pPr>
        <w:tabs>
          <w:tab w:val="left" w:pos="66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val="ro-RO"/>
        </w:rPr>
      </w:pPr>
      <w:r w:rsidRPr="00BD084B">
        <w:rPr>
          <w:rFonts w:ascii="Times New Roman" w:hAnsi="Times New Roman"/>
          <w:b/>
          <w:sz w:val="24"/>
          <w:szCs w:val="24"/>
          <w:lang w:val="ro-RO" w:eastAsia="ru-RU"/>
        </w:rPr>
        <w:t>PREȘEDINTĂ</w:t>
      </w:r>
      <w:r w:rsidRPr="00BD084B">
        <w:rPr>
          <w:rFonts w:ascii="Times New Roman" w:hAnsi="Times New Roman"/>
          <w:b/>
          <w:sz w:val="24"/>
          <w:szCs w:val="24"/>
          <w:lang w:val="ro-RO" w:eastAsia="ru-RU"/>
        </w:rPr>
        <w:tab/>
        <w:t xml:space="preserve">          </w:t>
      </w:r>
      <w:r w:rsidR="004940ED" w:rsidRPr="00BD084B">
        <w:rPr>
          <w:rFonts w:ascii="Times New Roman" w:hAnsi="Times New Roman"/>
          <w:b/>
          <w:sz w:val="24"/>
          <w:szCs w:val="24"/>
          <w:lang w:val="ro-RO" w:eastAsia="ru-RU"/>
        </w:rPr>
        <w:t xml:space="preserve"> Liliana VIȚU-EȘANU</w:t>
      </w:r>
    </w:p>
    <w:p w14:paraId="1E5B02A4" w14:textId="77777777" w:rsidR="00F3103C" w:rsidRPr="00BD084B" w:rsidRDefault="00F3103C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2481125D" w14:textId="77777777" w:rsidR="0040355F" w:rsidRPr="00BD084B" w:rsidRDefault="0040355F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06AA49E3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4DE1439C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55EB8FB6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48F5235E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7F5A965A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5146E64B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27FD9ECB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47C19987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692BAA54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4B3253FF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64CD44A9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31CFFE3B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1358FA6C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578BC4AB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2804C03F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594FE87B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6996AE58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54AB42E1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49319492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0E1D6EEC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1A350AF6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7FF22DD2" w14:textId="77777777" w:rsidR="00AC7F64" w:rsidRPr="00BD084B" w:rsidRDefault="00AC7F64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08D4C2CF" w14:textId="77777777" w:rsidR="00601662" w:rsidRPr="00BD084B" w:rsidRDefault="00601662" w:rsidP="0041229F">
      <w:pPr>
        <w:spacing w:after="0" w:line="240" w:lineRule="auto"/>
        <w:rPr>
          <w:rFonts w:ascii="Times New Roman" w:hAnsi="Times New Roman"/>
          <w:sz w:val="24"/>
          <w:szCs w:val="24"/>
          <w:lang w:val="ro-RO"/>
        </w:rPr>
      </w:pPr>
    </w:p>
    <w:p w14:paraId="654239DE" w14:textId="77777777" w:rsidR="00BD084B" w:rsidRPr="00BD084B" w:rsidRDefault="00AC7F64" w:rsidP="00BD084B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lastRenderedPageBreak/>
        <w:t xml:space="preserve">Anexă </w:t>
      </w:r>
    </w:p>
    <w:p w14:paraId="38B2DC1B" w14:textId="77777777" w:rsidR="00BD084B" w:rsidRPr="00BD084B" w:rsidRDefault="00AC7F64" w:rsidP="00BD084B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 xml:space="preserve">la Decizia Consiliului Audiovizualului </w:t>
      </w:r>
    </w:p>
    <w:p w14:paraId="40B2C536" w14:textId="77777777" w:rsidR="00BD084B" w:rsidRPr="00BD084B" w:rsidRDefault="00AC7F64" w:rsidP="00BD084B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 xml:space="preserve">al Republicii Moldova </w:t>
      </w:r>
    </w:p>
    <w:p w14:paraId="25447472" w14:textId="77777777" w:rsidR="00AC7F64" w:rsidRPr="00BD084B" w:rsidRDefault="00AC7F64" w:rsidP="00BD084B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 xml:space="preserve">nr. </w:t>
      </w:r>
      <w:r w:rsidR="00BD084B" w:rsidRPr="00BD084B">
        <w:rPr>
          <w:rFonts w:ascii="Times New Roman" w:hAnsi="Times New Roman"/>
          <w:sz w:val="24"/>
          <w:szCs w:val="24"/>
          <w:lang w:val="ro-RO"/>
        </w:rPr>
        <w:t>98 din 07 aprilie 2023</w:t>
      </w:r>
    </w:p>
    <w:p w14:paraId="4E340C5C" w14:textId="77777777" w:rsidR="00BD084B" w:rsidRPr="00BD084B" w:rsidRDefault="00BD084B" w:rsidP="00BD084B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3DCB022F" w14:textId="77777777" w:rsidR="0040355F" w:rsidRPr="00BD084B" w:rsidRDefault="0040355F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301F99F8" w14:textId="77777777" w:rsidR="004940ED" w:rsidRPr="00BD084B" w:rsidRDefault="004940ED" w:rsidP="004940ED">
      <w:pPr>
        <w:spacing w:after="0" w:line="240" w:lineRule="auto"/>
        <w:ind w:firstLine="720"/>
        <w:jc w:val="center"/>
        <w:rPr>
          <w:rFonts w:ascii="Times New Roman" w:hAnsi="Times New Roman"/>
          <w:b/>
          <w:sz w:val="24"/>
          <w:szCs w:val="24"/>
          <w:lang w:val="ro-RO" w:eastAsia="ro-RO"/>
        </w:rPr>
      </w:pPr>
      <w:r w:rsidRPr="00BD084B">
        <w:rPr>
          <w:rFonts w:ascii="Times New Roman" w:hAnsi="Times New Roman"/>
          <w:b/>
          <w:sz w:val="24"/>
          <w:szCs w:val="24"/>
          <w:lang w:val="ro-RO"/>
        </w:rPr>
        <w:t xml:space="preserve">Raport </w:t>
      </w:r>
    </w:p>
    <w:p w14:paraId="47629137" w14:textId="77777777" w:rsidR="004940ED" w:rsidRPr="00BD084B" w:rsidRDefault="004940ED" w:rsidP="004940ED">
      <w:pPr>
        <w:spacing w:after="0" w:line="240" w:lineRule="auto"/>
        <w:ind w:firstLine="720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BD084B">
        <w:rPr>
          <w:rFonts w:ascii="Times New Roman" w:hAnsi="Times New Roman"/>
          <w:b/>
          <w:sz w:val="24"/>
          <w:szCs w:val="24"/>
          <w:lang w:val="ro-RO"/>
        </w:rPr>
        <w:t>cu privire la activitatea financiară a</w:t>
      </w:r>
    </w:p>
    <w:p w14:paraId="2B69C7D1" w14:textId="77777777" w:rsidR="004940ED" w:rsidRPr="00BD084B" w:rsidRDefault="004940ED" w:rsidP="004940ED">
      <w:pPr>
        <w:spacing w:after="0" w:line="240" w:lineRule="auto"/>
        <w:ind w:firstLine="720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BD084B">
        <w:rPr>
          <w:rFonts w:ascii="Times New Roman" w:hAnsi="Times New Roman"/>
          <w:b/>
          <w:sz w:val="24"/>
          <w:szCs w:val="24"/>
          <w:lang w:val="ro-RO"/>
        </w:rPr>
        <w:t>Consiliului Audiovizualului al Republicii Moldova pentru anul 2022</w:t>
      </w:r>
    </w:p>
    <w:p w14:paraId="142378CA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2FDDAB62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>În baza propunerilor înaintate de Consiliul Audiovizualului al Republicii Moldova</w:t>
      </w:r>
      <w:r w:rsidR="004A6235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4A6235" w:rsidRPr="00BD084B">
        <w:rPr>
          <w:rFonts w:ascii="Times New Roman" w:hAnsi="Times New Roman"/>
          <w:sz w:val="24"/>
          <w:szCs w:val="24"/>
          <w:lang w:val="ro-RO"/>
        </w:rPr>
        <w:t>(</w:t>
      </w:r>
      <w:r w:rsidR="004A6235">
        <w:rPr>
          <w:rFonts w:ascii="Times New Roman" w:hAnsi="Times New Roman"/>
          <w:sz w:val="24"/>
          <w:szCs w:val="24"/>
          <w:lang w:val="ro-RO"/>
        </w:rPr>
        <w:t xml:space="preserve">în continuare – </w:t>
      </w:r>
      <w:r w:rsidR="004A6235" w:rsidRPr="004A6235">
        <w:rPr>
          <w:rFonts w:ascii="Times New Roman" w:hAnsi="Times New Roman"/>
          <w:i/>
          <w:sz w:val="24"/>
          <w:szCs w:val="24"/>
          <w:lang w:val="ro-RO"/>
        </w:rPr>
        <w:t>CA</w:t>
      </w:r>
      <w:r w:rsidR="004A6235" w:rsidRPr="00BD084B">
        <w:rPr>
          <w:rFonts w:ascii="Times New Roman" w:hAnsi="Times New Roman"/>
          <w:sz w:val="24"/>
          <w:szCs w:val="24"/>
          <w:lang w:val="ro-RO"/>
        </w:rPr>
        <w:t xml:space="preserve">) </w:t>
      </w:r>
      <w:r w:rsidRPr="00BD084B">
        <w:rPr>
          <w:rFonts w:ascii="Times New Roman" w:hAnsi="Times New Roman"/>
          <w:sz w:val="24"/>
          <w:szCs w:val="24"/>
          <w:lang w:val="ro-RO"/>
        </w:rPr>
        <w:t>prin Legea bugetului de stat pentru anul 2022 nr. 205</w:t>
      </w:r>
      <w:r w:rsidR="004A6235">
        <w:rPr>
          <w:rFonts w:ascii="Times New Roman" w:hAnsi="Times New Roman"/>
          <w:sz w:val="24"/>
          <w:szCs w:val="24"/>
          <w:lang w:val="ro-RO"/>
        </w:rPr>
        <w:t>/</w:t>
      </w:r>
      <w:r w:rsidRPr="00BD084B">
        <w:rPr>
          <w:rFonts w:ascii="Times New Roman" w:hAnsi="Times New Roman"/>
          <w:sz w:val="24"/>
          <w:szCs w:val="24"/>
          <w:lang w:val="ro-RO"/>
        </w:rPr>
        <w:t>2021</w:t>
      </w:r>
      <w:r w:rsidR="004A6235">
        <w:rPr>
          <w:rFonts w:ascii="Times New Roman" w:hAnsi="Times New Roman"/>
          <w:sz w:val="24"/>
          <w:szCs w:val="24"/>
          <w:lang w:val="ro-RO"/>
        </w:rPr>
        <w:t>,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a fost aprobat bugetul C</w:t>
      </w:r>
      <w:r w:rsidR="004A6235">
        <w:rPr>
          <w:rFonts w:ascii="Times New Roman" w:hAnsi="Times New Roman"/>
          <w:sz w:val="24"/>
          <w:szCs w:val="24"/>
          <w:lang w:val="ro-RO"/>
        </w:rPr>
        <w:t>A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în mărime de 12515,2 mii lei. Pe parcursul anului 2022 bugetul CA a fost majorat cu 321,7 mii lei.</w:t>
      </w:r>
    </w:p>
    <w:p w14:paraId="6604ABCF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5C4022E7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>Astfel, alocațiile precizate pentru anul 2022 au constituit 12836,9 mii lei, ceea ce depășește cu 3240,2 mii lei bugetul anului 2021.</w:t>
      </w:r>
    </w:p>
    <w:p w14:paraId="2387D7AE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2D69E6EF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 xml:space="preserve">Executarea veniturilor CA în anul 2022 a constituit 9784,4 mii lei sau 76,22% din suma planificată, dar finanțarea a fost în mărime de 9776,5 mii lei sau 76,16% din bugetul precizat. </w:t>
      </w:r>
    </w:p>
    <w:p w14:paraId="52CD258E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2326A469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>Executarea parțială a bugetului a fost condiționată de economia mijloacelor planificate pentru modernizarea tehnicii de calcul, care a fost transmisă CA de partenerii internaționali cu titlu gratuit, precum și de nesuplinirea funcțiilor vacante pe parcursul lunilor ianuarie-august 2022, din cauza demarării procesului de reorganizare a aparatului C</w:t>
      </w:r>
      <w:r w:rsidR="0019420E">
        <w:rPr>
          <w:rFonts w:ascii="Times New Roman" w:hAnsi="Times New Roman"/>
          <w:sz w:val="24"/>
          <w:szCs w:val="24"/>
          <w:lang w:val="ro-RO"/>
        </w:rPr>
        <w:t>A</w:t>
      </w:r>
      <w:r w:rsidRPr="00BD084B">
        <w:rPr>
          <w:rFonts w:ascii="Times New Roman" w:hAnsi="Times New Roman"/>
          <w:sz w:val="24"/>
          <w:szCs w:val="24"/>
          <w:lang w:val="ro-RO"/>
        </w:rPr>
        <w:t>.</w:t>
      </w:r>
    </w:p>
    <w:p w14:paraId="1C7E123C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2B8E4337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>Totodată, C</w:t>
      </w:r>
      <w:r w:rsidR="0019420E">
        <w:rPr>
          <w:rFonts w:ascii="Times New Roman" w:hAnsi="Times New Roman"/>
          <w:sz w:val="24"/>
          <w:szCs w:val="24"/>
          <w:lang w:val="ro-RO"/>
        </w:rPr>
        <w:t>A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a întreprins măsurile de rigoare pentru folosirea rezonabilă a resurselor energetice, fapt care a permis acoperirea tuturor cheltuielilor la acest compartiment. </w:t>
      </w:r>
    </w:p>
    <w:p w14:paraId="0BB57066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4AA59D3F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>Mijloacele financiare alocate C</w:t>
      </w:r>
      <w:r w:rsidR="0019420E">
        <w:rPr>
          <w:rFonts w:ascii="Times New Roman" w:hAnsi="Times New Roman"/>
          <w:sz w:val="24"/>
          <w:szCs w:val="24"/>
          <w:lang w:val="ro-RO"/>
        </w:rPr>
        <w:t>A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au fost îndreptate spre acoperirea cheltuielilor necesare pentru asigurarea activității pe următoarele direcții:</w:t>
      </w:r>
    </w:p>
    <w:p w14:paraId="4E8E4976" w14:textId="77777777" w:rsidR="004940ED" w:rsidRPr="00BD084B" w:rsidRDefault="004940ED" w:rsidP="004940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43A509F6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noProof/>
          <w:sz w:val="24"/>
          <w:szCs w:val="24"/>
          <w:lang w:val="ru-RU" w:eastAsia="ru-RU"/>
        </w:rPr>
        <w:drawing>
          <wp:inline distT="0" distB="0" distL="0" distR="0" wp14:anchorId="3241397F" wp14:editId="1CE5D6A9">
            <wp:extent cx="5772150" cy="3895725"/>
            <wp:effectExtent l="0" t="0" r="0" b="9525"/>
            <wp:docPr id="1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D7BF0E5" w14:textId="77777777" w:rsidR="004940ED" w:rsidRPr="00BD084B" w:rsidRDefault="004940ED" w:rsidP="004940ED">
      <w:pPr>
        <w:spacing w:after="0" w:line="240" w:lineRule="auto"/>
        <w:jc w:val="both"/>
        <w:rPr>
          <w:rStyle w:val="Accentuareintens"/>
          <w:rFonts w:ascii="Times New Roman" w:hAnsi="Times New Roman"/>
          <w:i w:val="0"/>
          <w:iCs w:val="0"/>
          <w:sz w:val="24"/>
          <w:szCs w:val="24"/>
          <w:lang w:val="ro-RO"/>
        </w:rPr>
      </w:pPr>
    </w:p>
    <w:p w14:paraId="06D54275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>Ponderea majoră din mijloacele bugetare finanțate o constituie retribuirea muncii personalului și cheltuielile aferente, necesități pentru care au fost utilizați 7601,1 mii lei. Compartimentul dat constituie 77,75% din totalul finanțat pentru anul 2022.</w:t>
      </w:r>
    </w:p>
    <w:p w14:paraId="3E633DFF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004E4206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>Pentru asigurarea tehnico-materială a activității C</w:t>
      </w:r>
      <w:r w:rsidR="008B0429">
        <w:rPr>
          <w:rFonts w:ascii="Times New Roman" w:hAnsi="Times New Roman"/>
          <w:sz w:val="24"/>
          <w:szCs w:val="24"/>
          <w:lang w:val="ro-RO"/>
        </w:rPr>
        <w:t>A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au fost alocați 600,3 mii lei sau 6,14% din suma achitată.</w:t>
      </w:r>
    </w:p>
    <w:p w14:paraId="5547803F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330FE733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>Astfel, pentru modernizarea infrastructurii accesului la internet, procurarea softurilor pentru înregistrarea și stocarea conținutului audiovizual, măsurarea nivelului tăriei sonore, soft</w:t>
      </w:r>
      <w:r w:rsidR="00C6112F">
        <w:rPr>
          <w:rFonts w:ascii="Times New Roman" w:hAnsi="Times New Roman"/>
          <w:sz w:val="24"/>
          <w:szCs w:val="24"/>
          <w:lang w:val="ro-RO"/>
        </w:rPr>
        <w:t>ul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antivirus, precum și achiziționarea imprimantelor au fost folosiți 352,6 mii lei.</w:t>
      </w:r>
    </w:p>
    <w:p w14:paraId="0425707D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2B592089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o-RO" w:eastAsia="ro-RO"/>
        </w:rPr>
      </w:pPr>
      <w:r w:rsidRPr="00BD084B">
        <w:rPr>
          <w:rFonts w:ascii="Times New Roman" w:hAnsi="Times New Roman"/>
          <w:color w:val="000000"/>
          <w:sz w:val="24"/>
          <w:szCs w:val="24"/>
          <w:lang w:val="ro-RO"/>
        </w:rPr>
        <w:t>Pentru asigurarea condițiilor optime de lucru a</w:t>
      </w:r>
      <w:r w:rsidR="00C6112F">
        <w:rPr>
          <w:rFonts w:ascii="Times New Roman" w:hAnsi="Times New Roman"/>
          <w:color w:val="000000"/>
          <w:sz w:val="24"/>
          <w:szCs w:val="24"/>
          <w:lang w:val="ro-RO"/>
        </w:rPr>
        <w:t>le</w:t>
      </w:r>
      <w:r w:rsidRPr="00BD084B">
        <w:rPr>
          <w:rFonts w:ascii="Times New Roman" w:hAnsi="Times New Roman"/>
          <w:color w:val="000000"/>
          <w:sz w:val="24"/>
          <w:szCs w:val="24"/>
          <w:lang w:val="ro-RO"/>
        </w:rPr>
        <w:t xml:space="preserve"> angajaților, în anul 2022</w:t>
      </w:r>
      <w:r w:rsidR="001E204C">
        <w:rPr>
          <w:rFonts w:ascii="Times New Roman" w:hAnsi="Times New Roman"/>
          <w:color w:val="000000"/>
          <w:sz w:val="24"/>
          <w:szCs w:val="24"/>
          <w:lang w:val="ro-RO"/>
        </w:rPr>
        <w:t>,</w:t>
      </w:r>
      <w:r w:rsidRPr="00BD084B">
        <w:rPr>
          <w:rFonts w:ascii="Times New Roman" w:hAnsi="Times New Roman"/>
          <w:color w:val="000000"/>
          <w:sz w:val="24"/>
          <w:szCs w:val="24"/>
          <w:lang w:val="ro-RO"/>
        </w:rPr>
        <w:t xml:space="preserve"> a fost efectuată parțial reparația curentă a sediului CA. Serviciile contractate la acest compartiment au constituit 173,3 mii lei.   </w:t>
      </w:r>
    </w:p>
    <w:p w14:paraId="1541F94B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1F057DB4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>Serviciile necesare pentru asigurarea activității, inclusiv cele comunale, au fost acoperite în mărime de 1483,7 mii lei, ceea ce a constituit 15,18% din bugetul finanțat.</w:t>
      </w:r>
    </w:p>
    <w:p w14:paraId="30B4127F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07365D25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>Cota altor cheltuieli, inclusiv cotizațiile de membru în organizațiile internaționale, în special a Platformei Europene a Autorităților de Reglementare (EPRA), a constituit 0,93% sau 91,4 mii lei.</w:t>
      </w:r>
    </w:p>
    <w:p w14:paraId="4BA00119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5456FFD0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o-RO" w:eastAsia="ro-RO"/>
        </w:rPr>
      </w:pPr>
      <w:r w:rsidRPr="00BD084B">
        <w:rPr>
          <w:rFonts w:ascii="Times New Roman" w:eastAsia="Times New Roman" w:hAnsi="Times New Roman"/>
          <w:color w:val="000000"/>
          <w:sz w:val="24"/>
          <w:szCs w:val="24"/>
          <w:lang w:val="ro-RO" w:eastAsia="ro-RO"/>
        </w:rPr>
        <w:t xml:space="preserve">Este de menționat faptul că din suma de  2681,0 mii lei – valoare de intrare a mijloacelor fixe în anul de raportare, 2311,4 mii lei o constituie valoarea tehnicii de calcul, aparatelor cu aer condiționat și a softurilor transmise CA cu titlu gratuit de către partenerii internaționali. </w:t>
      </w:r>
    </w:p>
    <w:p w14:paraId="28A09F56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o-RO" w:eastAsia="ro-RO"/>
        </w:rPr>
      </w:pPr>
    </w:p>
    <w:p w14:paraId="350D78BD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o-RO" w:eastAsia="ro-RO"/>
        </w:rPr>
      </w:pPr>
      <w:r w:rsidRPr="00BD084B">
        <w:rPr>
          <w:rFonts w:ascii="Times New Roman" w:eastAsia="Times New Roman" w:hAnsi="Times New Roman"/>
          <w:sz w:val="24"/>
          <w:szCs w:val="24"/>
          <w:lang w:val="ro-RO" w:eastAsia="ro-RO"/>
        </w:rPr>
        <w:t xml:space="preserve">La contul „Alte creanțe ale instituțiilor bugetare”, la situația din 31.12.2022, sunt înregistrate creanțe în mărime de 39,9 mii lei, o parte fiind constituită din creanțele pentru subvențiile utilizate neconform în anul 2018 de către furnizorii de servicii media audiovizuale în sumă </w:t>
      </w:r>
      <w:r w:rsidRPr="00BD084B">
        <w:rPr>
          <w:rFonts w:ascii="Times New Roman" w:eastAsia="Times New Roman" w:hAnsi="Times New Roman"/>
          <w:color w:val="000000"/>
          <w:sz w:val="24"/>
          <w:szCs w:val="24"/>
          <w:lang w:val="ro-RO" w:eastAsia="ro-RO"/>
        </w:rPr>
        <w:t>de 15,5 mii lei</w:t>
      </w:r>
      <w:r w:rsidRPr="00BD084B">
        <w:rPr>
          <w:rFonts w:ascii="Times New Roman" w:eastAsia="Times New Roman" w:hAnsi="Times New Roman"/>
          <w:sz w:val="24"/>
          <w:szCs w:val="24"/>
          <w:lang w:val="ro-RO" w:eastAsia="ro-RO"/>
        </w:rPr>
        <w:t>. Pentru recuperarea sumei indicate este înaintat Mandat de executare către Serviciul Fiscal de Stat.</w:t>
      </w:r>
    </w:p>
    <w:p w14:paraId="60DDC3F9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o-RO" w:eastAsia="ro-RO"/>
        </w:rPr>
      </w:pPr>
    </w:p>
    <w:p w14:paraId="36B41514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o-RO" w:eastAsia="ro-RO"/>
        </w:rPr>
      </w:pPr>
      <w:r w:rsidRPr="00BD084B">
        <w:rPr>
          <w:rFonts w:ascii="Times New Roman" w:eastAsia="Times New Roman" w:hAnsi="Times New Roman"/>
          <w:sz w:val="24"/>
          <w:szCs w:val="24"/>
          <w:lang w:val="ro-RO" w:eastAsia="ro-RO"/>
        </w:rPr>
        <w:t>La contul „Alte datorii ale instituțiilor bugetare”, la finele anului sunt înregistrate datorii ale CA în mărime de 780,3 mii lei, partea majoră (94,91%) constituind datoriile curente pentru retribuirea muncii și cheltuielile aferente. Datorii cu termen de prescripție expirat C</w:t>
      </w:r>
      <w:r w:rsidR="00F95B1A">
        <w:rPr>
          <w:rFonts w:ascii="Times New Roman" w:eastAsia="Times New Roman" w:hAnsi="Times New Roman"/>
          <w:sz w:val="24"/>
          <w:szCs w:val="24"/>
          <w:lang w:val="ro-RO" w:eastAsia="ro-RO"/>
        </w:rPr>
        <w:t>A</w:t>
      </w:r>
      <w:r w:rsidRPr="00BD084B">
        <w:rPr>
          <w:rFonts w:ascii="Times New Roman" w:eastAsia="Times New Roman" w:hAnsi="Times New Roman"/>
          <w:sz w:val="24"/>
          <w:szCs w:val="24"/>
          <w:lang w:val="ro-RO" w:eastAsia="ro-RO"/>
        </w:rPr>
        <w:t xml:space="preserve"> nu are.</w:t>
      </w:r>
    </w:p>
    <w:p w14:paraId="35997024" w14:textId="77777777" w:rsidR="004940ED" w:rsidRPr="00BD084B" w:rsidRDefault="004940ED" w:rsidP="004940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5A6FE0AE" w14:textId="77777777" w:rsidR="004940ED" w:rsidRPr="00BD084B" w:rsidRDefault="004940ED" w:rsidP="004940ED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  <w:lang w:val="ro-RO" w:eastAsia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 xml:space="preserve">Pe </w:t>
      </w:r>
      <w:r w:rsidR="002A4781">
        <w:rPr>
          <w:rFonts w:ascii="Times New Roman" w:hAnsi="Times New Roman"/>
          <w:sz w:val="24"/>
          <w:szCs w:val="24"/>
          <w:lang w:val="ro-RO"/>
        </w:rPr>
        <w:t xml:space="preserve">data de </w:t>
      </w:r>
      <w:r w:rsidRPr="00BD084B">
        <w:rPr>
          <w:rFonts w:ascii="Times New Roman" w:hAnsi="Times New Roman"/>
          <w:sz w:val="24"/>
          <w:szCs w:val="24"/>
          <w:lang w:val="ro-RO"/>
        </w:rPr>
        <w:t>10.06.2022</w:t>
      </w:r>
      <w:r w:rsidR="002A4781">
        <w:rPr>
          <w:rFonts w:ascii="Times New Roman" w:hAnsi="Times New Roman"/>
          <w:sz w:val="24"/>
          <w:szCs w:val="24"/>
          <w:lang w:val="ro-RO"/>
        </w:rPr>
        <w:t>,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2A4781" w:rsidRPr="00BD084B">
        <w:rPr>
          <w:rFonts w:ascii="Times New Roman" w:hAnsi="Times New Roman"/>
          <w:sz w:val="24"/>
          <w:szCs w:val="24"/>
          <w:lang w:val="ro-RO"/>
        </w:rPr>
        <w:t>prin Decizia nr. 199</w:t>
      </w:r>
      <w:r w:rsidR="002A4781">
        <w:rPr>
          <w:rFonts w:ascii="Times New Roman" w:hAnsi="Times New Roman"/>
          <w:sz w:val="24"/>
          <w:szCs w:val="24"/>
          <w:lang w:val="ro-RO"/>
        </w:rPr>
        <w:t>,</w:t>
      </w:r>
      <w:r w:rsidR="002A4781" w:rsidRPr="00BD084B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BD084B">
        <w:rPr>
          <w:rFonts w:ascii="Times New Roman" w:hAnsi="Times New Roman"/>
          <w:sz w:val="24"/>
          <w:szCs w:val="24"/>
          <w:lang w:val="ro-RO"/>
        </w:rPr>
        <w:t>C</w:t>
      </w:r>
      <w:r w:rsidR="002A4781">
        <w:rPr>
          <w:rFonts w:ascii="Times New Roman" w:hAnsi="Times New Roman"/>
          <w:sz w:val="24"/>
          <w:szCs w:val="24"/>
          <w:lang w:val="ro-RO"/>
        </w:rPr>
        <w:t>A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a aprobat Regulamentul de organizare și funcționare a Consiliului Audiovizualului al Republicii Moldova, iar prin Decizia nr. 209 din 17.06.2022 – Structura și efectivul-limită de personal. Ca rezultat, pe 22</w:t>
      </w:r>
      <w:r w:rsidR="001F0A61">
        <w:rPr>
          <w:rFonts w:ascii="Times New Roman" w:hAnsi="Times New Roman"/>
          <w:sz w:val="24"/>
          <w:szCs w:val="24"/>
          <w:lang w:val="ro-RO"/>
        </w:rPr>
        <w:t>.07.</w:t>
      </w:r>
      <w:r w:rsidRPr="00BD084B">
        <w:rPr>
          <w:rFonts w:ascii="Times New Roman" w:hAnsi="Times New Roman"/>
          <w:sz w:val="24"/>
          <w:szCs w:val="24"/>
          <w:lang w:val="ro-RO" w:eastAsia="ru-RU"/>
        </w:rPr>
        <w:t>2022 Cancelaria de Stat a aprobat noul Stat de personal al Consiliului Audiovizualului,</w:t>
      </w:r>
      <w:r w:rsidRPr="00BD084B">
        <w:rPr>
          <w:rFonts w:ascii="Times New Roman" w:hAnsi="Times New Roman"/>
          <w:color w:val="FF0000"/>
          <w:sz w:val="24"/>
          <w:szCs w:val="24"/>
          <w:lang w:val="ro-RO" w:eastAsia="ru-RU"/>
        </w:rPr>
        <w:t xml:space="preserve"> </w:t>
      </w:r>
      <w:r w:rsidRPr="00BD084B">
        <w:rPr>
          <w:rFonts w:ascii="Times New Roman" w:hAnsi="Times New Roman"/>
          <w:color w:val="000000"/>
          <w:sz w:val="24"/>
          <w:szCs w:val="24"/>
          <w:lang w:val="ro-RO" w:eastAsia="ru-RU"/>
        </w:rPr>
        <w:t>care a fost pus în aplicare din 01.08.2022.</w:t>
      </w:r>
    </w:p>
    <w:p w14:paraId="110B579E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ro-RO" w:eastAsia="ru-RU"/>
        </w:rPr>
      </w:pPr>
      <w:r w:rsidRPr="00BD084B">
        <w:rPr>
          <w:rFonts w:ascii="Times New Roman" w:hAnsi="Times New Roman"/>
          <w:color w:val="000000"/>
          <w:sz w:val="24"/>
          <w:szCs w:val="24"/>
          <w:lang w:val="ro-RO" w:eastAsia="ru-RU"/>
        </w:rPr>
        <w:t>Astfel, efectivul-limită al CA a fost redus cu 6 funcții și constituie 58</w:t>
      </w:r>
      <w:r w:rsidR="00A90F13">
        <w:rPr>
          <w:rFonts w:ascii="Times New Roman" w:hAnsi="Times New Roman"/>
          <w:color w:val="000000"/>
          <w:sz w:val="24"/>
          <w:szCs w:val="24"/>
          <w:lang w:val="ro-RO" w:eastAsia="ru-RU"/>
        </w:rPr>
        <w:t xml:space="preserve"> de</w:t>
      </w:r>
      <w:r w:rsidRPr="00BD084B">
        <w:rPr>
          <w:rFonts w:ascii="Times New Roman" w:hAnsi="Times New Roman"/>
          <w:color w:val="000000"/>
          <w:sz w:val="24"/>
          <w:szCs w:val="24"/>
          <w:lang w:val="ro-RO" w:eastAsia="ru-RU"/>
        </w:rPr>
        <w:t xml:space="preserve"> persoane, din care:</w:t>
      </w:r>
    </w:p>
    <w:p w14:paraId="7B2D0B28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ro-RO" w:eastAsia="ru-RU"/>
        </w:rPr>
      </w:pPr>
      <w:r w:rsidRPr="00BD084B">
        <w:rPr>
          <w:rFonts w:ascii="Times New Roman" w:hAnsi="Times New Roman"/>
          <w:color w:val="000000"/>
          <w:sz w:val="24"/>
          <w:szCs w:val="24"/>
          <w:lang w:val="ro-RO" w:eastAsia="ru-RU"/>
        </w:rPr>
        <w:t>7</w:t>
      </w:r>
      <w:r w:rsidR="00A90F13">
        <w:rPr>
          <w:rFonts w:ascii="Times New Roman" w:hAnsi="Times New Roman"/>
          <w:color w:val="000000"/>
          <w:sz w:val="24"/>
          <w:szCs w:val="24"/>
          <w:lang w:val="ro-RO" w:eastAsia="ru-RU"/>
        </w:rPr>
        <w:t xml:space="preserve"> –</w:t>
      </w:r>
      <w:r w:rsidRPr="00BD084B">
        <w:rPr>
          <w:rFonts w:ascii="Times New Roman" w:hAnsi="Times New Roman"/>
          <w:color w:val="000000"/>
          <w:sz w:val="24"/>
          <w:szCs w:val="24"/>
          <w:lang w:val="ro-RO" w:eastAsia="ru-RU"/>
        </w:rPr>
        <w:t xml:space="preserve"> persoane cu funcții de demnitate publică;</w:t>
      </w:r>
    </w:p>
    <w:p w14:paraId="0A11F7AB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ro-RO" w:eastAsia="ru-RU"/>
        </w:rPr>
      </w:pPr>
      <w:r w:rsidRPr="00BD084B">
        <w:rPr>
          <w:rFonts w:ascii="Times New Roman" w:hAnsi="Times New Roman"/>
          <w:color w:val="000000"/>
          <w:sz w:val="24"/>
          <w:szCs w:val="24"/>
          <w:lang w:val="ro-RO" w:eastAsia="ru-RU"/>
        </w:rPr>
        <w:t xml:space="preserve">10 </w:t>
      </w:r>
      <w:r w:rsidR="00A90F13">
        <w:rPr>
          <w:rFonts w:ascii="Times New Roman" w:hAnsi="Times New Roman"/>
          <w:color w:val="000000"/>
          <w:sz w:val="24"/>
          <w:szCs w:val="24"/>
          <w:lang w:val="ro-RO" w:eastAsia="ru-RU"/>
        </w:rPr>
        <w:t>–</w:t>
      </w:r>
      <w:r w:rsidRPr="00BD084B">
        <w:rPr>
          <w:rFonts w:ascii="Times New Roman" w:hAnsi="Times New Roman"/>
          <w:color w:val="000000"/>
          <w:sz w:val="24"/>
          <w:szCs w:val="24"/>
          <w:lang w:val="ro-RO" w:eastAsia="ru-RU"/>
        </w:rPr>
        <w:t xml:space="preserve"> funcționari publici de conducere;</w:t>
      </w:r>
    </w:p>
    <w:p w14:paraId="6E571197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color w:val="000000"/>
          <w:sz w:val="24"/>
          <w:szCs w:val="24"/>
          <w:lang w:val="ro-RO" w:eastAsia="ru-RU"/>
        </w:rPr>
        <w:t xml:space="preserve">34 </w:t>
      </w:r>
      <w:r w:rsidR="00A90F13">
        <w:rPr>
          <w:rFonts w:ascii="Times New Roman" w:hAnsi="Times New Roman"/>
          <w:color w:val="000000"/>
          <w:sz w:val="24"/>
          <w:szCs w:val="24"/>
          <w:lang w:val="ro-RO" w:eastAsia="ru-RU"/>
        </w:rPr>
        <w:t>–</w:t>
      </w:r>
      <w:r w:rsidRPr="00BD084B">
        <w:rPr>
          <w:rFonts w:ascii="Times New Roman" w:hAnsi="Times New Roman"/>
          <w:color w:val="000000"/>
          <w:sz w:val="24"/>
          <w:szCs w:val="24"/>
          <w:lang w:val="ro-RO" w:eastAsia="ru-RU"/>
        </w:rPr>
        <w:t xml:space="preserve"> funcționari publici de execuție;</w:t>
      </w:r>
    </w:p>
    <w:p w14:paraId="1D4AD015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 w:eastAsia="ru-RU"/>
        </w:rPr>
      </w:pPr>
      <w:r w:rsidRPr="00BD084B">
        <w:rPr>
          <w:rFonts w:ascii="Times New Roman" w:hAnsi="Times New Roman"/>
          <w:sz w:val="24"/>
          <w:szCs w:val="24"/>
          <w:lang w:val="ro-RO" w:eastAsia="ru-RU"/>
        </w:rPr>
        <w:t xml:space="preserve">2 </w:t>
      </w:r>
      <w:r w:rsidR="00A90F13">
        <w:rPr>
          <w:rFonts w:ascii="Times New Roman" w:hAnsi="Times New Roman"/>
          <w:sz w:val="24"/>
          <w:szCs w:val="24"/>
          <w:lang w:val="ro-RO" w:eastAsia="ru-RU"/>
        </w:rPr>
        <w:t>–</w:t>
      </w:r>
      <w:r w:rsidRPr="00BD084B">
        <w:rPr>
          <w:rFonts w:ascii="Times New Roman" w:hAnsi="Times New Roman"/>
          <w:sz w:val="24"/>
          <w:szCs w:val="24"/>
          <w:lang w:val="ro-RO" w:eastAsia="ru-RU"/>
        </w:rPr>
        <w:t xml:space="preserve"> personal de deservire tehnică;</w:t>
      </w:r>
    </w:p>
    <w:p w14:paraId="5A1D83C7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 w:eastAsia="ru-RU"/>
        </w:rPr>
      </w:pPr>
      <w:r w:rsidRPr="00BD084B">
        <w:rPr>
          <w:rFonts w:ascii="Times New Roman" w:hAnsi="Times New Roman"/>
          <w:sz w:val="24"/>
          <w:szCs w:val="24"/>
          <w:lang w:val="ro-RO" w:eastAsia="ru-RU"/>
        </w:rPr>
        <w:t>5</w:t>
      </w:r>
      <w:r w:rsidR="00A90F13">
        <w:rPr>
          <w:rFonts w:ascii="Times New Roman" w:hAnsi="Times New Roman"/>
          <w:sz w:val="24"/>
          <w:szCs w:val="24"/>
          <w:lang w:val="ro-RO" w:eastAsia="ru-RU"/>
        </w:rPr>
        <w:t xml:space="preserve"> –</w:t>
      </w:r>
      <w:r w:rsidRPr="00BD084B">
        <w:rPr>
          <w:rFonts w:ascii="Times New Roman" w:hAnsi="Times New Roman"/>
          <w:sz w:val="24"/>
          <w:szCs w:val="24"/>
          <w:lang w:val="ro-RO" w:eastAsia="ru-RU"/>
        </w:rPr>
        <w:t xml:space="preserve"> personal auxiliar.</w:t>
      </w:r>
    </w:p>
    <w:p w14:paraId="39555471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 w:eastAsia="ru-RU"/>
        </w:rPr>
      </w:pPr>
    </w:p>
    <w:p w14:paraId="19954327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o-RO" w:eastAsia="ro-RO"/>
        </w:rPr>
      </w:pPr>
      <w:r w:rsidRPr="00BD084B">
        <w:rPr>
          <w:rFonts w:ascii="Times New Roman" w:eastAsia="Times New Roman" w:hAnsi="Times New Roman"/>
          <w:sz w:val="24"/>
          <w:szCs w:val="24"/>
          <w:lang w:val="ro-RO" w:eastAsia="ro-RO"/>
        </w:rPr>
        <w:t xml:space="preserve">La situația din 31.12.2022 numărul efectiv al angajaților CA a constituit 39 </w:t>
      </w:r>
      <w:r w:rsidR="00A90F13">
        <w:rPr>
          <w:rFonts w:ascii="Times New Roman" w:eastAsia="Times New Roman" w:hAnsi="Times New Roman"/>
          <w:sz w:val="24"/>
          <w:szCs w:val="24"/>
          <w:lang w:val="ro-RO" w:eastAsia="ro-RO"/>
        </w:rPr>
        <w:t xml:space="preserve">de </w:t>
      </w:r>
      <w:r w:rsidRPr="00BD084B">
        <w:rPr>
          <w:rFonts w:ascii="Times New Roman" w:eastAsia="Times New Roman" w:hAnsi="Times New Roman"/>
          <w:sz w:val="24"/>
          <w:szCs w:val="24"/>
          <w:lang w:val="ro-RO" w:eastAsia="ro-RO"/>
        </w:rPr>
        <w:t xml:space="preserve">persoane, vacante fiind 19 funcții. Neacoperirea personalului necesar este condiționată în partea majoră de specificul activității de bază a Consiliului și </w:t>
      </w:r>
      <w:r w:rsidR="00A3153A">
        <w:rPr>
          <w:rFonts w:ascii="Times New Roman" w:eastAsia="Times New Roman" w:hAnsi="Times New Roman"/>
          <w:sz w:val="24"/>
          <w:szCs w:val="24"/>
          <w:lang w:val="ro-RO" w:eastAsia="ro-RO"/>
        </w:rPr>
        <w:t xml:space="preserve">de </w:t>
      </w:r>
      <w:r w:rsidRPr="00BD084B">
        <w:rPr>
          <w:rFonts w:ascii="Times New Roman" w:eastAsia="Times New Roman" w:hAnsi="Times New Roman"/>
          <w:sz w:val="24"/>
          <w:szCs w:val="24"/>
          <w:lang w:val="ro-RO" w:eastAsia="ro-RO"/>
        </w:rPr>
        <w:t>lipsa specialiștilor în domeniul audiovizualului. Totuși, după aprobarea noii structuri, CA a suplinit 10 funcții vacante la 01.09.2022.</w:t>
      </w:r>
    </w:p>
    <w:p w14:paraId="0E3DE951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o-RO" w:eastAsia="ro-RO"/>
        </w:rPr>
      </w:pPr>
      <w:r w:rsidRPr="00BD084B">
        <w:rPr>
          <w:rFonts w:ascii="Times New Roman" w:eastAsia="Times New Roman" w:hAnsi="Times New Roman"/>
          <w:color w:val="333333"/>
          <w:sz w:val="24"/>
          <w:szCs w:val="24"/>
          <w:lang w:val="ro-RO" w:eastAsia="ru-RU"/>
        </w:rPr>
        <w:tab/>
      </w:r>
    </w:p>
    <w:p w14:paraId="782C7A1A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lastRenderedPageBreak/>
        <w:t>Cheltuielile de personal în perioada anului de raportare au constituit 7475,1 mii lei, ceea ce a depășit cu 377,6 mii lei cheltuielile pentru anul precedent. Faptul dat se datorează majorării salarizării angajaților CA în anul 2022.</w:t>
      </w:r>
    </w:p>
    <w:p w14:paraId="5D5521B1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25FA7305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>Pe parcursul anului angajații C</w:t>
      </w:r>
      <w:r w:rsidR="00DE1389">
        <w:rPr>
          <w:rFonts w:ascii="Times New Roman" w:hAnsi="Times New Roman"/>
          <w:sz w:val="24"/>
          <w:szCs w:val="24"/>
          <w:lang w:val="ro-RO"/>
        </w:rPr>
        <w:t>A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au efectuat 5 deplasări peste hotarele țării</w:t>
      </w:r>
      <w:r w:rsidR="00DE1389">
        <w:rPr>
          <w:rFonts w:ascii="Times New Roman" w:hAnsi="Times New Roman"/>
          <w:sz w:val="24"/>
          <w:szCs w:val="24"/>
          <w:lang w:val="ro-RO"/>
        </w:rPr>
        <w:t>,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finanțate din contul C</w:t>
      </w:r>
      <w:r w:rsidR="00DE1389">
        <w:rPr>
          <w:rFonts w:ascii="Times New Roman" w:hAnsi="Times New Roman"/>
          <w:sz w:val="24"/>
          <w:szCs w:val="24"/>
          <w:lang w:val="ro-RO"/>
        </w:rPr>
        <w:t>onsiliului,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pentru participarea la întrunirile membrilor Platformei Europene a Autorităților de Reglementare în domeniul Audiovizualului (EPRA), a președinților Rețelei de reglementare a mass-mediei francofone (REFRAM), efectuarea vizitelor de lucru în vederea schimbului de experiență la organele de reglementare a audiovizualului ale statelor europene. Cheltuielile la acest compartiment au constituit 192,3 mii lei.</w:t>
      </w:r>
    </w:p>
    <w:p w14:paraId="141B59FD" w14:textId="77777777" w:rsidR="004940ED" w:rsidRPr="00BD084B" w:rsidRDefault="004940ED" w:rsidP="0049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78580A36" w14:textId="77777777" w:rsidR="004940ED" w:rsidRDefault="004940ED" w:rsidP="009226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D084B">
        <w:rPr>
          <w:rFonts w:ascii="Times New Roman" w:hAnsi="Times New Roman"/>
          <w:sz w:val="24"/>
          <w:szCs w:val="24"/>
          <w:lang w:val="ro-RO"/>
        </w:rPr>
        <w:t>În vederea informării furnizorilor și distribuitorilor de servicii media audiovizuale, precum și a societății civile</w:t>
      </w:r>
      <w:r w:rsidR="008B07D7">
        <w:rPr>
          <w:rFonts w:ascii="Times New Roman" w:hAnsi="Times New Roman"/>
          <w:sz w:val="24"/>
          <w:szCs w:val="24"/>
          <w:lang w:val="ro-RO"/>
        </w:rPr>
        <w:t>,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despre Strategia de dezvoltare a audiovizualului 2023-2027 și prevederil</w:t>
      </w:r>
      <w:r w:rsidR="008B07D7">
        <w:rPr>
          <w:rFonts w:ascii="Times New Roman" w:hAnsi="Times New Roman"/>
          <w:sz w:val="24"/>
          <w:szCs w:val="24"/>
          <w:lang w:val="ro-RO"/>
        </w:rPr>
        <w:t>e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A51825" w:rsidRPr="00BD084B">
        <w:rPr>
          <w:rFonts w:ascii="Times New Roman" w:hAnsi="Times New Roman"/>
          <w:sz w:val="24"/>
          <w:szCs w:val="24"/>
          <w:lang w:val="ro-RO"/>
        </w:rPr>
        <w:t>Codului serviciilor media audiovizuale al R</w:t>
      </w:r>
      <w:r w:rsidR="00A51825">
        <w:rPr>
          <w:rFonts w:ascii="Times New Roman" w:hAnsi="Times New Roman"/>
          <w:sz w:val="24"/>
          <w:szCs w:val="24"/>
          <w:lang w:val="ro-RO"/>
        </w:rPr>
        <w:t>epublicii Moldova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nr.</w:t>
      </w:r>
      <w:r w:rsidR="00C14E05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BD084B">
        <w:rPr>
          <w:rFonts w:ascii="Times New Roman" w:hAnsi="Times New Roman"/>
          <w:sz w:val="24"/>
          <w:szCs w:val="24"/>
          <w:lang w:val="ro-RO"/>
        </w:rPr>
        <w:t>174/2018, în anul de raportare C</w:t>
      </w:r>
      <w:r w:rsidR="00F1310B">
        <w:rPr>
          <w:rFonts w:ascii="Times New Roman" w:hAnsi="Times New Roman"/>
          <w:sz w:val="24"/>
          <w:szCs w:val="24"/>
          <w:lang w:val="ro-RO"/>
        </w:rPr>
        <w:t>A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a organizat 8 evenimente</w:t>
      </w:r>
      <w:r w:rsidR="00F1310B">
        <w:rPr>
          <w:rFonts w:ascii="Times New Roman" w:hAnsi="Times New Roman"/>
          <w:sz w:val="24"/>
          <w:szCs w:val="24"/>
          <w:lang w:val="ro-RO"/>
        </w:rPr>
        <w:t>,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utilizând din bugetul </w:t>
      </w:r>
      <w:r w:rsidR="00F1310B">
        <w:rPr>
          <w:rFonts w:ascii="Times New Roman" w:hAnsi="Times New Roman"/>
          <w:sz w:val="24"/>
          <w:szCs w:val="24"/>
          <w:lang w:val="ro-RO"/>
        </w:rPr>
        <w:t>său</w:t>
      </w:r>
      <w:r w:rsidRPr="00BD084B">
        <w:rPr>
          <w:rFonts w:ascii="Times New Roman" w:hAnsi="Times New Roman"/>
          <w:sz w:val="24"/>
          <w:szCs w:val="24"/>
          <w:lang w:val="ro-RO"/>
        </w:rPr>
        <w:t xml:space="preserve"> doar 6,5 mii lei.</w:t>
      </w:r>
    </w:p>
    <w:p w14:paraId="648CA882" w14:textId="77777777" w:rsidR="0092266A" w:rsidRPr="00BD084B" w:rsidRDefault="0092266A" w:rsidP="009226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03297CD7" w14:textId="77777777" w:rsidR="004940ED" w:rsidRPr="00BD084B" w:rsidRDefault="004940ED" w:rsidP="00C147F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BD084B">
        <w:rPr>
          <w:rFonts w:ascii="Times New Roman" w:hAnsi="Times New Roman"/>
          <w:b/>
          <w:sz w:val="24"/>
          <w:szCs w:val="24"/>
          <w:lang w:val="ro-RO"/>
        </w:rPr>
        <w:t>Implementarea măsurilor/acțiunilor de politici din bugetul CA</w:t>
      </w:r>
    </w:p>
    <w:p w14:paraId="69A6F003" w14:textId="77777777" w:rsidR="004940ED" w:rsidRPr="00BD084B" w:rsidRDefault="004940ED" w:rsidP="004940ED">
      <w:pPr>
        <w:spacing w:after="0" w:line="240" w:lineRule="auto"/>
        <w:ind w:firstLine="709"/>
        <w:jc w:val="both"/>
        <w:rPr>
          <w:rFonts w:ascii="Times New Roman" w:hAnsi="Times New Roman"/>
          <w:b/>
          <w:color w:val="FF0000"/>
          <w:sz w:val="24"/>
          <w:szCs w:val="24"/>
          <w:lang w:val="ro-RO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78"/>
        <w:gridCol w:w="1389"/>
        <w:gridCol w:w="1253"/>
      </w:tblGrid>
      <w:tr w:rsidR="004940ED" w:rsidRPr="00BD084B" w14:paraId="1A024D55" w14:textId="77777777" w:rsidTr="005865B1">
        <w:trPr>
          <w:trHeight w:val="165"/>
        </w:trPr>
        <w:tc>
          <w:tcPr>
            <w:tcW w:w="7230" w:type="dxa"/>
            <w:vMerge w:val="restart"/>
          </w:tcPr>
          <w:p w14:paraId="44528DDD" w14:textId="77777777" w:rsidR="004940ED" w:rsidRPr="00CE5FC4" w:rsidRDefault="004940ED" w:rsidP="00076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Denumirea măsurii</w:t>
            </w:r>
          </w:p>
        </w:tc>
        <w:tc>
          <w:tcPr>
            <w:tcW w:w="2693" w:type="dxa"/>
            <w:gridSpan w:val="2"/>
            <w:shd w:val="clear" w:color="auto" w:fill="auto"/>
          </w:tcPr>
          <w:p w14:paraId="2E1941E9" w14:textId="77777777" w:rsidR="004940ED" w:rsidRPr="00CE5FC4" w:rsidRDefault="004940ED" w:rsidP="000F10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Costul, mii lei</w:t>
            </w:r>
          </w:p>
        </w:tc>
      </w:tr>
      <w:tr w:rsidR="004940ED" w:rsidRPr="00BD084B" w14:paraId="67FC7AAC" w14:textId="77777777" w:rsidTr="005865B1">
        <w:trPr>
          <w:trHeight w:val="105"/>
        </w:trPr>
        <w:tc>
          <w:tcPr>
            <w:tcW w:w="7230" w:type="dxa"/>
            <w:vMerge/>
          </w:tcPr>
          <w:p w14:paraId="655D6681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417" w:type="dxa"/>
            <w:shd w:val="clear" w:color="auto" w:fill="auto"/>
          </w:tcPr>
          <w:p w14:paraId="4B325EA5" w14:textId="77777777" w:rsidR="004940ED" w:rsidRPr="00CE5FC4" w:rsidRDefault="004940ED" w:rsidP="000F10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Prevăzut</w:t>
            </w:r>
          </w:p>
        </w:tc>
        <w:tc>
          <w:tcPr>
            <w:tcW w:w="1276" w:type="dxa"/>
            <w:shd w:val="clear" w:color="auto" w:fill="auto"/>
          </w:tcPr>
          <w:p w14:paraId="6665BC7A" w14:textId="77777777" w:rsidR="004940ED" w:rsidRPr="00CE5FC4" w:rsidRDefault="004940ED" w:rsidP="000F10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Realizat</w:t>
            </w:r>
          </w:p>
        </w:tc>
      </w:tr>
      <w:tr w:rsidR="004940ED" w:rsidRPr="00BD084B" w14:paraId="1A493BCC" w14:textId="77777777" w:rsidTr="005865B1">
        <w:trPr>
          <w:trHeight w:val="165"/>
        </w:trPr>
        <w:tc>
          <w:tcPr>
            <w:tcW w:w="7230" w:type="dxa"/>
          </w:tcPr>
          <w:p w14:paraId="5BFAF6F8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CE5FC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ro-RO" w:eastAsia="ru-RU"/>
              </w:rPr>
              <w:t>Asigurarea controlului asupra instituțiilor în domeniul audiovizualului</w:t>
            </w:r>
          </w:p>
        </w:tc>
        <w:tc>
          <w:tcPr>
            <w:tcW w:w="1417" w:type="dxa"/>
            <w:shd w:val="clear" w:color="auto" w:fill="auto"/>
          </w:tcPr>
          <w:p w14:paraId="45E163CE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276" w:type="dxa"/>
            <w:shd w:val="clear" w:color="auto" w:fill="auto"/>
          </w:tcPr>
          <w:p w14:paraId="72BEBC43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4940ED" w:rsidRPr="00BD084B" w14:paraId="7A60FA90" w14:textId="77777777" w:rsidTr="00BB37B2">
        <w:trPr>
          <w:trHeight w:val="850"/>
        </w:trPr>
        <w:tc>
          <w:tcPr>
            <w:tcW w:w="7230" w:type="dxa"/>
          </w:tcPr>
          <w:p w14:paraId="0687B27E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val="ro-RO" w:eastAsia="en-GB"/>
              </w:rPr>
            </w:pPr>
            <w:r w:rsidRPr="00CE5FC4">
              <w:rPr>
                <w:rFonts w:ascii="Times New Roman" w:eastAsia="Times New Roman" w:hAnsi="Times New Roman"/>
                <w:sz w:val="20"/>
                <w:szCs w:val="20"/>
                <w:lang w:val="ro-RO" w:eastAsia="en-GB"/>
              </w:rPr>
              <w:t>Monitorizarea activității furnizorilor de servicii media și a distribuitorilor de servicii aflați sub jurisdicția Republicii Moldova:</w:t>
            </w:r>
          </w:p>
          <w:p w14:paraId="1ED733CA" w14:textId="77777777" w:rsidR="004940ED" w:rsidRPr="00CE5FC4" w:rsidRDefault="004940ED" w:rsidP="005865B1">
            <w:pPr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0"/>
                <w:szCs w:val="20"/>
                <w:lang w:val="ro-RO" w:eastAsia="en-GB"/>
              </w:rPr>
            </w:pPr>
            <w:r w:rsidRPr="00CE5FC4">
              <w:rPr>
                <w:rFonts w:ascii="Times New Roman" w:eastAsia="Times New Roman" w:hAnsi="Times New Roman"/>
                <w:sz w:val="20"/>
                <w:szCs w:val="20"/>
                <w:lang w:val="ro-RO" w:eastAsia="en-GB"/>
              </w:rPr>
              <w:t>Monitorizări tematice, generale, planificate, inopinate</w:t>
            </w:r>
          </w:p>
          <w:p w14:paraId="40EA7FB5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 w:eastAsia="en-GB"/>
              </w:rPr>
              <w:t>Examinarea petițiilor, sesizărilor, plângerilor</w:t>
            </w:r>
          </w:p>
        </w:tc>
        <w:tc>
          <w:tcPr>
            <w:tcW w:w="1417" w:type="dxa"/>
            <w:shd w:val="clear" w:color="auto" w:fill="auto"/>
          </w:tcPr>
          <w:p w14:paraId="7F322CD9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color w:val="000000"/>
                <w:sz w:val="20"/>
                <w:szCs w:val="20"/>
                <w:lang w:val="ro-RO"/>
              </w:rPr>
              <w:t>9262,0</w:t>
            </w:r>
          </w:p>
        </w:tc>
        <w:tc>
          <w:tcPr>
            <w:tcW w:w="1276" w:type="dxa"/>
            <w:shd w:val="clear" w:color="auto" w:fill="auto"/>
          </w:tcPr>
          <w:p w14:paraId="42EF88D4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color w:val="000000"/>
                <w:sz w:val="20"/>
                <w:szCs w:val="20"/>
                <w:lang w:val="ro-RO"/>
              </w:rPr>
              <w:t>7510,8</w:t>
            </w:r>
          </w:p>
        </w:tc>
      </w:tr>
      <w:tr w:rsidR="004940ED" w:rsidRPr="00BD084B" w14:paraId="01B2BFA2" w14:textId="77777777" w:rsidTr="005865B1">
        <w:trPr>
          <w:trHeight w:val="168"/>
        </w:trPr>
        <w:tc>
          <w:tcPr>
            <w:tcW w:w="7230" w:type="dxa"/>
          </w:tcPr>
          <w:p w14:paraId="75796670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val="ro-RO" w:eastAsia="en-GB"/>
              </w:rPr>
            </w:pPr>
            <w:r w:rsidRPr="00CE5FC4">
              <w:rPr>
                <w:rFonts w:ascii="Times New Roman" w:eastAsia="Times New Roman" w:hAnsi="Times New Roman"/>
                <w:sz w:val="20"/>
                <w:szCs w:val="20"/>
                <w:lang w:val="ro-RO" w:eastAsia="en-GB"/>
              </w:rPr>
              <w:t>Monitorizarea nivelului tăriei sonore în cadrul serviciilor media audiovizuale</w:t>
            </w:r>
          </w:p>
        </w:tc>
        <w:tc>
          <w:tcPr>
            <w:tcW w:w="1417" w:type="dxa"/>
            <w:shd w:val="clear" w:color="auto" w:fill="auto"/>
          </w:tcPr>
          <w:p w14:paraId="4D5BC7E7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/>
              </w:rPr>
              <w:t>133,8</w:t>
            </w:r>
          </w:p>
        </w:tc>
        <w:tc>
          <w:tcPr>
            <w:tcW w:w="1276" w:type="dxa"/>
            <w:shd w:val="clear" w:color="auto" w:fill="auto"/>
          </w:tcPr>
          <w:p w14:paraId="5510D470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color w:val="000000"/>
                <w:sz w:val="20"/>
                <w:szCs w:val="20"/>
                <w:lang w:val="ro-RO"/>
              </w:rPr>
              <w:t>81,9</w:t>
            </w:r>
          </w:p>
        </w:tc>
      </w:tr>
      <w:tr w:rsidR="004940ED" w:rsidRPr="00BD084B" w14:paraId="507AE0D3" w14:textId="77777777" w:rsidTr="005865B1">
        <w:trPr>
          <w:trHeight w:val="104"/>
        </w:trPr>
        <w:tc>
          <w:tcPr>
            <w:tcW w:w="7230" w:type="dxa"/>
          </w:tcPr>
          <w:p w14:paraId="416E4F64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val="ro-RO" w:eastAsia="en-GB"/>
              </w:rPr>
            </w:pPr>
            <w:r w:rsidRPr="00CE5FC4">
              <w:rPr>
                <w:rFonts w:ascii="Times New Roman" w:eastAsia="Times New Roman" w:hAnsi="Times New Roman"/>
                <w:sz w:val="20"/>
                <w:szCs w:val="20"/>
                <w:lang w:val="ro-RO" w:eastAsia="en-GB"/>
              </w:rPr>
              <w:t>Organizarea și desfășurarea activităților de instruire a tinerilor jurnaliști și editorilor din domeniul audiovizualului</w:t>
            </w:r>
          </w:p>
        </w:tc>
        <w:tc>
          <w:tcPr>
            <w:tcW w:w="1417" w:type="dxa"/>
            <w:shd w:val="clear" w:color="auto" w:fill="auto"/>
          </w:tcPr>
          <w:p w14:paraId="3FE8893F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56E5FF2A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/>
              </w:rPr>
              <w:t>-</w:t>
            </w:r>
          </w:p>
        </w:tc>
      </w:tr>
      <w:tr w:rsidR="004940ED" w:rsidRPr="00BD084B" w14:paraId="2E0959E1" w14:textId="77777777" w:rsidTr="005865B1">
        <w:trPr>
          <w:trHeight w:val="150"/>
        </w:trPr>
        <w:tc>
          <w:tcPr>
            <w:tcW w:w="7230" w:type="dxa"/>
          </w:tcPr>
          <w:p w14:paraId="150FCE14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 w:eastAsia="en-GB"/>
              </w:rPr>
              <w:t>Elaborarea/ajustarea cadrului normativ secundar privind reglementarea activităților pe diverse componente din arealul audiovizual. Elaborarea Regulamentelor în vederea asigurării dreptului persoanei de acces la serviciile audiovizuale</w:t>
            </w:r>
          </w:p>
        </w:tc>
        <w:tc>
          <w:tcPr>
            <w:tcW w:w="1417" w:type="dxa"/>
            <w:shd w:val="clear" w:color="auto" w:fill="auto"/>
          </w:tcPr>
          <w:p w14:paraId="1A619D6D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/>
              </w:rPr>
              <w:t>100,0</w:t>
            </w:r>
          </w:p>
        </w:tc>
        <w:tc>
          <w:tcPr>
            <w:tcW w:w="1276" w:type="dxa"/>
            <w:shd w:val="clear" w:color="auto" w:fill="auto"/>
          </w:tcPr>
          <w:p w14:paraId="2DE10F01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/>
              </w:rPr>
              <w:t>100,0</w:t>
            </w:r>
            <w:r w:rsidRPr="00CE5FC4"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  <w:t xml:space="preserve"> </w:t>
            </w:r>
          </w:p>
        </w:tc>
      </w:tr>
      <w:tr w:rsidR="004940ED" w:rsidRPr="00BD084B" w14:paraId="2388ED6F" w14:textId="77777777" w:rsidTr="005865B1">
        <w:trPr>
          <w:trHeight w:val="111"/>
        </w:trPr>
        <w:tc>
          <w:tcPr>
            <w:tcW w:w="7230" w:type="dxa"/>
          </w:tcPr>
          <w:p w14:paraId="37C9CF47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 w:eastAsia="en-GB"/>
              </w:rPr>
              <w:t>Participarea în cadrul evenimentelor internaționale (reuniuni, forumuri, rețele internaționale la care CA este membru), precum și raportarea către instituțiile abilitate privind evoluția și activitatea CA</w:t>
            </w:r>
          </w:p>
        </w:tc>
        <w:tc>
          <w:tcPr>
            <w:tcW w:w="1417" w:type="dxa"/>
            <w:shd w:val="clear" w:color="auto" w:fill="auto"/>
          </w:tcPr>
          <w:p w14:paraId="542195A8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/>
              </w:rPr>
              <w:t>321,2</w:t>
            </w:r>
            <w:r w:rsidRPr="00CE5FC4"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  <w:t xml:space="preserve">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27773715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/>
              </w:rPr>
              <w:t>264,1</w:t>
            </w:r>
            <w:r w:rsidRPr="00CE5FC4"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  <w:t xml:space="preserve"> </w:t>
            </w:r>
          </w:p>
        </w:tc>
      </w:tr>
      <w:tr w:rsidR="004940ED" w:rsidRPr="00BD084B" w14:paraId="099CB077" w14:textId="77777777" w:rsidTr="005865B1">
        <w:trPr>
          <w:trHeight w:val="111"/>
        </w:trPr>
        <w:tc>
          <w:tcPr>
            <w:tcW w:w="7230" w:type="dxa"/>
          </w:tcPr>
          <w:p w14:paraId="570975C4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 w:eastAsia="en-GB"/>
              </w:rPr>
              <w:t>Asigurarea condițiilor optime pentru desfășurarea activității CA (întreținerea)</w:t>
            </w:r>
          </w:p>
        </w:tc>
        <w:tc>
          <w:tcPr>
            <w:tcW w:w="1417" w:type="dxa"/>
            <w:shd w:val="clear" w:color="auto" w:fill="auto"/>
          </w:tcPr>
          <w:p w14:paraId="20F7D41F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color w:val="000000"/>
                <w:sz w:val="20"/>
                <w:szCs w:val="20"/>
                <w:lang w:val="ro-RO"/>
              </w:rPr>
              <w:t>1504,7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5E915CA9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color w:val="000000"/>
                <w:sz w:val="20"/>
                <w:szCs w:val="20"/>
                <w:lang w:val="ro-RO"/>
              </w:rPr>
              <w:t>1370,2</w:t>
            </w:r>
          </w:p>
        </w:tc>
      </w:tr>
      <w:tr w:rsidR="004940ED" w:rsidRPr="00BD084B" w14:paraId="67195912" w14:textId="77777777" w:rsidTr="005865B1">
        <w:trPr>
          <w:trHeight w:val="111"/>
        </w:trPr>
        <w:tc>
          <w:tcPr>
            <w:tcW w:w="7230" w:type="dxa"/>
          </w:tcPr>
          <w:p w14:paraId="5B2A7C60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 w:eastAsia="en-GB"/>
              </w:rPr>
              <w:t>Instruirea și dezvoltarea profesională continuă a personalului din cadrul CA</w:t>
            </w:r>
          </w:p>
        </w:tc>
        <w:tc>
          <w:tcPr>
            <w:tcW w:w="1417" w:type="dxa"/>
            <w:shd w:val="clear" w:color="auto" w:fill="auto"/>
          </w:tcPr>
          <w:p w14:paraId="07F26318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/>
              </w:rPr>
              <w:t>37,8</w:t>
            </w:r>
            <w:r w:rsidRPr="00CE5FC4"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78D038A0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/>
              </w:rPr>
              <w:t>5,0</w:t>
            </w:r>
            <w:r w:rsidRPr="00CE5FC4"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  <w:t xml:space="preserve"> </w:t>
            </w:r>
          </w:p>
        </w:tc>
      </w:tr>
      <w:tr w:rsidR="004940ED" w:rsidRPr="00BD084B" w14:paraId="287858B1" w14:textId="77777777" w:rsidTr="00BB37B2">
        <w:trPr>
          <w:trHeight w:val="283"/>
        </w:trPr>
        <w:tc>
          <w:tcPr>
            <w:tcW w:w="7230" w:type="dxa"/>
          </w:tcPr>
          <w:p w14:paraId="527AE69F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 w:eastAsia="en-GB"/>
              </w:rPr>
              <w:t>Fortificarea capacităților tehnice ale CA, modernizarea sistemului și softurilor de monitorizare TV și radio</w:t>
            </w:r>
          </w:p>
        </w:tc>
        <w:tc>
          <w:tcPr>
            <w:tcW w:w="1417" w:type="dxa"/>
            <w:shd w:val="clear" w:color="auto" w:fill="auto"/>
          </w:tcPr>
          <w:p w14:paraId="4FEE4EDB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/>
              </w:rPr>
              <w:t>1357,4</w:t>
            </w:r>
            <w:r w:rsidRPr="00CE5FC4"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14:paraId="04541362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/>
              </w:rPr>
              <w:t>344,5</w:t>
            </w:r>
            <w:r w:rsidRPr="00CE5FC4"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  <w:t xml:space="preserve"> </w:t>
            </w:r>
          </w:p>
        </w:tc>
      </w:tr>
      <w:tr w:rsidR="004940ED" w:rsidRPr="00BD084B" w14:paraId="495AE1FB" w14:textId="77777777" w:rsidTr="005865B1">
        <w:trPr>
          <w:trHeight w:val="120"/>
        </w:trPr>
        <w:tc>
          <w:tcPr>
            <w:tcW w:w="7230" w:type="dxa"/>
          </w:tcPr>
          <w:p w14:paraId="2BEF39B8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 w:eastAsia="en-GB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 w:eastAsia="en-GB"/>
              </w:rPr>
              <w:t>Digitizarea arhivei CA existente</w:t>
            </w:r>
          </w:p>
        </w:tc>
        <w:tc>
          <w:tcPr>
            <w:tcW w:w="1417" w:type="dxa"/>
            <w:shd w:val="clear" w:color="auto" w:fill="auto"/>
          </w:tcPr>
          <w:p w14:paraId="13862342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/>
              </w:rPr>
              <w:t>20,0</w:t>
            </w:r>
          </w:p>
        </w:tc>
        <w:tc>
          <w:tcPr>
            <w:tcW w:w="1276" w:type="dxa"/>
            <w:shd w:val="clear" w:color="auto" w:fill="auto"/>
          </w:tcPr>
          <w:p w14:paraId="1C036588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/>
              </w:rPr>
              <w:t>-</w:t>
            </w:r>
          </w:p>
        </w:tc>
      </w:tr>
      <w:tr w:rsidR="004940ED" w:rsidRPr="00BD084B" w14:paraId="1BE94595" w14:textId="77777777" w:rsidTr="005865B1">
        <w:trPr>
          <w:trHeight w:val="152"/>
        </w:trPr>
        <w:tc>
          <w:tcPr>
            <w:tcW w:w="7230" w:type="dxa"/>
          </w:tcPr>
          <w:p w14:paraId="3E9C3047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 w:eastAsia="en-GB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 w:eastAsia="en-GB"/>
              </w:rPr>
              <w:t xml:space="preserve">Implementarea Strategiei de dezvoltare a mass-mediei audiovizuale </w:t>
            </w:r>
          </w:p>
        </w:tc>
        <w:tc>
          <w:tcPr>
            <w:tcW w:w="1417" w:type="dxa"/>
            <w:shd w:val="clear" w:color="auto" w:fill="auto"/>
          </w:tcPr>
          <w:p w14:paraId="08F4E252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/>
              </w:rPr>
              <w:t>100,0</w:t>
            </w:r>
          </w:p>
        </w:tc>
        <w:tc>
          <w:tcPr>
            <w:tcW w:w="1276" w:type="dxa"/>
            <w:shd w:val="clear" w:color="auto" w:fill="auto"/>
          </w:tcPr>
          <w:p w14:paraId="359B250D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sz w:val="20"/>
                <w:szCs w:val="20"/>
                <w:lang w:val="ro-RO"/>
              </w:rPr>
              <w:t>100,0</w:t>
            </w:r>
          </w:p>
        </w:tc>
      </w:tr>
      <w:tr w:rsidR="004940ED" w:rsidRPr="00BD084B" w14:paraId="00BE85BF" w14:textId="77777777" w:rsidTr="005865B1">
        <w:trPr>
          <w:trHeight w:val="135"/>
        </w:trPr>
        <w:tc>
          <w:tcPr>
            <w:tcW w:w="7230" w:type="dxa"/>
            <w:tcBorders>
              <w:bottom w:val="single" w:sz="4" w:space="0" w:color="auto"/>
            </w:tcBorders>
          </w:tcPr>
          <w:p w14:paraId="5F1F2125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ro-RO" w:eastAsia="en-GB"/>
              </w:rPr>
            </w:pPr>
            <w:r w:rsidRPr="00CE5FC4">
              <w:rPr>
                <w:rFonts w:ascii="Times New Roman" w:hAnsi="Times New Roman"/>
                <w:b/>
                <w:sz w:val="20"/>
                <w:szCs w:val="20"/>
                <w:lang w:val="ro-RO" w:eastAsia="en-GB"/>
              </w:rPr>
              <w:t>Total</w:t>
            </w:r>
          </w:p>
        </w:tc>
        <w:tc>
          <w:tcPr>
            <w:tcW w:w="1417" w:type="dxa"/>
            <w:shd w:val="clear" w:color="auto" w:fill="auto"/>
          </w:tcPr>
          <w:p w14:paraId="4847753D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12836,9</w:t>
            </w:r>
          </w:p>
        </w:tc>
        <w:tc>
          <w:tcPr>
            <w:tcW w:w="1276" w:type="dxa"/>
            <w:shd w:val="clear" w:color="auto" w:fill="auto"/>
          </w:tcPr>
          <w:p w14:paraId="7869751B" w14:textId="77777777" w:rsidR="004940ED" w:rsidRPr="00CE5FC4" w:rsidRDefault="004940ED" w:rsidP="005865B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CE5FC4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9776,5</w:t>
            </w:r>
          </w:p>
        </w:tc>
      </w:tr>
    </w:tbl>
    <w:p w14:paraId="281DAA75" w14:textId="77777777" w:rsidR="004940ED" w:rsidRPr="00BD084B" w:rsidRDefault="004940ED" w:rsidP="004940ED">
      <w:pPr>
        <w:spacing w:after="0" w:line="240" w:lineRule="auto"/>
        <w:ind w:firstLine="709"/>
        <w:jc w:val="both"/>
        <w:rPr>
          <w:rFonts w:ascii="Times New Roman" w:hAnsi="Times New Roman"/>
          <w:lang w:val="ro-RO"/>
        </w:rPr>
      </w:pPr>
    </w:p>
    <w:p w14:paraId="15211B95" w14:textId="77777777" w:rsidR="00F11353" w:rsidRPr="002745D9" w:rsidRDefault="004940ED" w:rsidP="00894AA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o-RO"/>
        </w:rPr>
      </w:pPr>
      <w:r w:rsidRPr="00BD084B">
        <w:rPr>
          <w:rFonts w:ascii="Times New Roman" w:eastAsia="Times New Roman" w:hAnsi="Times New Roman"/>
          <w:b/>
          <w:sz w:val="24"/>
          <w:szCs w:val="24"/>
          <w:lang w:val="ro-RO" w:eastAsia="ro-RO"/>
        </w:rPr>
        <w:t xml:space="preserve">        </w:t>
      </w:r>
    </w:p>
    <w:p w14:paraId="322BD046" w14:textId="77777777" w:rsidR="00F11353" w:rsidRPr="00BD084B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14:paraId="55E1E4E8" w14:textId="77777777" w:rsidR="00F11353" w:rsidRPr="00BD084B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sectPr w:rsidR="00F11353" w:rsidRPr="00BD084B" w:rsidSect="00BD084B">
      <w:footerReference w:type="default" r:id="rId9"/>
      <w:pgSz w:w="11906" w:h="16838"/>
      <w:pgMar w:top="851" w:right="567" w:bottom="851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175D57" w14:textId="77777777" w:rsidR="00C63099" w:rsidRDefault="00C63099" w:rsidP="0082295B">
      <w:pPr>
        <w:spacing w:after="0" w:line="240" w:lineRule="auto"/>
      </w:pPr>
      <w:r>
        <w:separator/>
      </w:r>
    </w:p>
  </w:endnote>
  <w:endnote w:type="continuationSeparator" w:id="0">
    <w:p w14:paraId="61FF93B6" w14:textId="77777777" w:rsidR="00C63099" w:rsidRDefault="00C63099" w:rsidP="00822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567523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14:paraId="7A14819D" w14:textId="77777777" w:rsidR="00BD084B" w:rsidRPr="00BD084B" w:rsidRDefault="00404BCD">
        <w:pPr>
          <w:pStyle w:val="Subsol"/>
          <w:jc w:val="right"/>
          <w:rPr>
            <w:rFonts w:ascii="Times New Roman" w:hAnsi="Times New Roman"/>
            <w:sz w:val="24"/>
            <w:szCs w:val="24"/>
          </w:rPr>
        </w:pPr>
        <w:r w:rsidRPr="00BD084B">
          <w:rPr>
            <w:rFonts w:ascii="Times New Roman" w:hAnsi="Times New Roman"/>
            <w:sz w:val="24"/>
            <w:szCs w:val="24"/>
          </w:rPr>
          <w:fldChar w:fldCharType="begin"/>
        </w:r>
        <w:r w:rsidR="00BD084B" w:rsidRPr="00BD084B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BD084B">
          <w:rPr>
            <w:rFonts w:ascii="Times New Roman" w:hAnsi="Times New Roman"/>
            <w:sz w:val="24"/>
            <w:szCs w:val="24"/>
          </w:rPr>
          <w:fldChar w:fldCharType="separate"/>
        </w:r>
        <w:r w:rsidR="0041229F">
          <w:rPr>
            <w:rFonts w:ascii="Times New Roman" w:hAnsi="Times New Roman"/>
            <w:noProof/>
            <w:sz w:val="24"/>
            <w:szCs w:val="24"/>
          </w:rPr>
          <w:t>2</w:t>
        </w:r>
        <w:r w:rsidRPr="00BD084B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14:paraId="7FBD4E48" w14:textId="77777777" w:rsidR="00F914D6" w:rsidRPr="00B1045E" w:rsidRDefault="00000000" w:rsidP="00F31C11">
    <w:pPr>
      <w:pStyle w:val="Subsol"/>
      <w:jc w:val="right"/>
      <w:rPr>
        <w:rFonts w:ascii="Times New Roman" w:hAnsi="Times New Roman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F6724" w14:textId="77777777" w:rsidR="00C63099" w:rsidRDefault="00C63099" w:rsidP="0082295B">
      <w:pPr>
        <w:spacing w:after="0" w:line="240" w:lineRule="auto"/>
      </w:pPr>
      <w:r>
        <w:separator/>
      </w:r>
    </w:p>
  </w:footnote>
  <w:footnote w:type="continuationSeparator" w:id="0">
    <w:p w14:paraId="36E71D2D" w14:textId="77777777" w:rsidR="00C63099" w:rsidRDefault="00C63099" w:rsidP="008229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C56E30"/>
    <w:multiLevelType w:val="hybridMultilevel"/>
    <w:tmpl w:val="BF5CB56E"/>
    <w:lvl w:ilvl="0" w:tplc="BCE0975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3A61C6"/>
    <w:multiLevelType w:val="hybridMultilevel"/>
    <w:tmpl w:val="F89891BC"/>
    <w:lvl w:ilvl="0" w:tplc="6088BF74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2007" w:hanging="360"/>
      </w:pPr>
    </w:lvl>
    <w:lvl w:ilvl="2" w:tplc="0418001B" w:tentative="1">
      <w:start w:val="1"/>
      <w:numFmt w:val="lowerRoman"/>
      <w:lvlText w:val="%3."/>
      <w:lvlJc w:val="right"/>
      <w:pPr>
        <w:ind w:left="2727" w:hanging="180"/>
      </w:pPr>
    </w:lvl>
    <w:lvl w:ilvl="3" w:tplc="0418000F" w:tentative="1">
      <w:start w:val="1"/>
      <w:numFmt w:val="decimal"/>
      <w:lvlText w:val="%4."/>
      <w:lvlJc w:val="left"/>
      <w:pPr>
        <w:ind w:left="3447" w:hanging="360"/>
      </w:pPr>
    </w:lvl>
    <w:lvl w:ilvl="4" w:tplc="04180019" w:tentative="1">
      <w:start w:val="1"/>
      <w:numFmt w:val="lowerLetter"/>
      <w:lvlText w:val="%5."/>
      <w:lvlJc w:val="left"/>
      <w:pPr>
        <w:ind w:left="4167" w:hanging="360"/>
      </w:pPr>
    </w:lvl>
    <w:lvl w:ilvl="5" w:tplc="0418001B" w:tentative="1">
      <w:start w:val="1"/>
      <w:numFmt w:val="lowerRoman"/>
      <w:lvlText w:val="%6."/>
      <w:lvlJc w:val="right"/>
      <w:pPr>
        <w:ind w:left="4887" w:hanging="180"/>
      </w:pPr>
    </w:lvl>
    <w:lvl w:ilvl="6" w:tplc="0418000F" w:tentative="1">
      <w:start w:val="1"/>
      <w:numFmt w:val="decimal"/>
      <w:lvlText w:val="%7."/>
      <w:lvlJc w:val="left"/>
      <w:pPr>
        <w:ind w:left="5607" w:hanging="360"/>
      </w:pPr>
    </w:lvl>
    <w:lvl w:ilvl="7" w:tplc="04180019" w:tentative="1">
      <w:start w:val="1"/>
      <w:numFmt w:val="lowerLetter"/>
      <w:lvlText w:val="%8."/>
      <w:lvlJc w:val="left"/>
      <w:pPr>
        <w:ind w:left="6327" w:hanging="360"/>
      </w:pPr>
    </w:lvl>
    <w:lvl w:ilvl="8" w:tplc="0418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745834571">
    <w:abstractNumId w:val="1"/>
  </w:num>
  <w:num w:numId="2" w16cid:durableId="719013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0CF"/>
    <w:rsid w:val="00000E80"/>
    <w:rsid w:val="00001499"/>
    <w:rsid w:val="000016B9"/>
    <w:rsid w:val="000025A9"/>
    <w:rsid w:val="0000721F"/>
    <w:rsid w:val="00015DC6"/>
    <w:rsid w:val="000161A7"/>
    <w:rsid w:val="00023130"/>
    <w:rsid w:val="000312AE"/>
    <w:rsid w:val="000401B4"/>
    <w:rsid w:val="00043802"/>
    <w:rsid w:val="00052D32"/>
    <w:rsid w:val="00056495"/>
    <w:rsid w:val="0006179E"/>
    <w:rsid w:val="0006603E"/>
    <w:rsid w:val="00073C83"/>
    <w:rsid w:val="000740B6"/>
    <w:rsid w:val="00076AEA"/>
    <w:rsid w:val="0008091B"/>
    <w:rsid w:val="000871A3"/>
    <w:rsid w:val="00090059"/>
    <w:rsid w:val="00092E07"/>
    <w:rsid w:val="00096117"/>
    <w:rsid w:val="000A44A3"/>
    <w:rsid w:val="000B412C"/>
    <w:rsid w:val="000C139D"/>
    <w:rsid w:val="000C1B1D"/>
    <w:rsid w:val="000C3D77"/>
    <w:rsid w:val="000D304F"/>
    <w:rsid w:val="000D59A5"/>
    <w:rsid w:val="000F105D"/>
    <w:rsid w:val="00100D6C"/>
    <w:rsid w:val="00103C35"/>
    <w:rsid w:val="0010433B"/>
    <w:rsid w:val="00107087"/>
    <w:rsid w:val="001240A0"/>
    <w:rsid w:val="00126BAB"/>
    <w:rsid w:val="00131166"/>
    <w:rsid w:val="00141F40"/>
    <w:rsid w:val="00146FB2"/>
    <w:rsid w:val="001504D3"/>
    <w:rsid w:val="00166E6E"/>
    <w:rsid w:val="001825E1"/>
    <w:rsid w:val="001877B1"/>
    <w:rsid w:val="00193FBA"/>
    <w:rsid w:val="0019420E"/>
    <w:rsid w:val="001A31CC"/>
    <w:rsid w:val="001B2182"/>
    <w:rsid w:val="001B25FD"/>
    <w:rsid w:val="001B77B8"/>
    <w:rsid w:val="001C4AD8"/>
    <w:rsid w:val="001D7D47"/>
    <w:rsid w:val="001E204C"/>
    <w:rsid w:val="001F0301"/>
    <w:rsid w:val="001F0A61"/>
    <w:rsid w:val="001F1D75"/>
    <w:rsid w:val="001F2395"/>
    <w:rsid w:val="002020B1"/>
    <w:rsid w:val="002032AA"/>
    <w:rsid w:val="002072FF"/>
    <w:rsid w:val="0024495D"/>
    <w:rsid w:val="00244CF4"/>
    <w:rsid w:val="00245BE4"/>
    <w:rsid w:val="00262EA6"/>
    <w:rsid w:val="00264D8A"/>
    <w:rsid w:val="00271A97"/>
    <w:rsid w:val="002745D9"/>
    <w:rsid w:val="00281A9F"/>
    <w:rsid w:val="00282521"/>
    <w:rsid w:val="0028330D"/>
    <w:rsid w:val="002968C9"/>
    <w:rsid w:val="002A30ED"/>
    <w:rsid w:val="002A4781"/>
    <w:rsid w:val="002B12DB"/>
    <w:rsid w:val="002B3914"/>
    <w:rsid w:val="002B4252"/>
    <w:rsid w:val="002C517C"/>
    <w:rsid w:val="002E6FAA"/>
    <w:rsid w:val="002F6AD0"/>
    <w:rsid w:val="0030213A"/>
    <w:rsid w:val="0032064B"/>
    <w:rsid w:val="00322474"/>
    <w:rsid w:val="00323F9D"/>
    <w:rsid w:val="00330968"/>
    <w:rsid w:val="0033132F"/>
    <w:rsid w:val="003315BA"/>
    <w:rsid w:val="0033397B"/>
    <w:rsid w:val="003414CB"/>
    <w:rsid w:val="00350799"/>
    <w:rsid w:val="00357A05"/>
    <w:rsid w:val="00360227"/>
    <w:rsid w:val="003649D8"/>
    <w:rsid w:val="00364E59"/>
    <w:rsid w:val="00367EB5"/>
    <w:rsid w:val="003746A8"/>
    <w:rsid w:val="00377B0A"/>
    <w:rsid w:val="00384122"/>
    <w:rsid w:val="0039478C"/>
    <w:rsid w:val="003A0A27"/>
    <w:rsid w:val="003B5DC8"/>
    <w:rsid w:val="003B7AA2"/>
    <w:rsid w:val="003C7D21"/>
    <w:rsid w:val="003E09A4"/>
    <w:rsid w:val="003E307F"/>
    <w:rsid w:val="003E601A"/>
    <w:rsid w:val="003E74E5"/>
    <w:rsid w:val="0040355F"/>
    <w:rsid w:val="00404BCD"/>
    <w:rsid w:val="0041229F"/>
    <w:rsid w:val="0042411D"/>
    <w:rsid w:val="00434FF4"/>
    <w:rsid w:val="0043509D"/>
    <w:rsid w:val="00447833"/>
    <w:rsid w:val="004546D9"/>
    <w:rsid w:val="00455941"/>
    <w:rsid w:val="00464DEA"/>
    <w:rsid w:val="004662F2"/>
    <w:rsid w:val="0047040E"/>
    <w:rsid w:val="004940ED"/>
    <w:rsid w:val="004A0193"/>
    <w:rsid w:val="004A2206"/>
    <w:rsid w:val="004A3447"/>
    <w:rsid w:val="004A6235"/>
    <w:rsid w:val="004B0E7B"/>
    <w:rsid w:val="004B3F35"/>
    <w:rsid w:val="004B51E7"/>
    <w:rsid w:val="004B7739"/>
    <w:rsid w:val="004D3A94"/>
    <w:rsid w:val="004E6CAF"/>
    <w:rsid w:val="004F4195"/>
    <w:rsid w:val="00521707"/>
    <w:rsid w:val="005221AA"/>
    <w:rsid w:val="00525896"/>
    <w:rsid w:val="005264AF"/>
    <w:rsid w:val="00541E52"/>
    <w:rsid w:val="0055020F"/>
    <w:rsid w:val="00550828"/>
    <w:rsid w:val="00550C83"/>
    <w:rsid w:val="00556E6B"/>
    <w:rsid w:val="00563262"/>
    <w:rsid w:val="005639A1"/>
    <w:rsid w:val="0057259A"/>
    <w:rsid w:val="00580939"/>
    <w:rsid w:val="0059236B"/>
    <w:rsid w:val="00592CE9"/>
    <w:rsid w:val="005A2162"/>
    <w:rsid w:val="005B7D2F"/>
    <w:rsid w:val="005C725B"/>
    <w:rsid w:val="005D518D"/>
    <w:rsid w:val="005D7EE2"/>
    <w:rsid w:val="005E3790"/>
    <w:rsid w:val="005F7042"/>
    <w:rsid w:val="005F7E1F"/>
    <w:rsid w:val="00601662"/>
    <w:rsid w:val="00602034"/>
    <w:rsid w:val="00602DA5"/>
    <w:rsid w:val="00606CCE"/>
    <w:rsid w:val="006079CA"/>
    <w:rsid w:val="00615D3C"/>
    <w:rsid w:val="00615E11"/>
    <w:rsid w:val="00624289"/>
    <w:rsid w:val="0063174B"/>
    <w:rsid w:val="006406DA"/>
    <w:rsid w:val="006536E3"/>
    <w:rsid w:val="00653B6F"/>
    <w:rsid w:val="00655968"/>
    <w:rsid w:val="00657B7A"/>
    <w:rsid w:val="00676844"/>
    <w:rsid w:val="00680DD4"/>
    <w:rsid w:val="00687EBB"/>
    <w:rsid w:val="00696101"/>
    <w:rsid w:val="00697CE3"/>
    <w:rsid w:val="006A6C61"/>
    <w:rsid w:val="006B0026"/>
    <w:rsid w:val="006B3201"/>
    <w:rsid w:val="006C3820"/>
    <w:rsid w:val="006C4BA3"/>
    <w:rsid w:val="006C7DD7"/>
    <w:rsid w:val="006E1AD2"/>
    <w:rsid w:val="006F120F"/>
    <w:rsid w:val="006F4798"/>
    <w:rsid w:val="006F6FAE"/>
    <w:rsid w:val="00701A19"/>
    <w:rsid w:val="00720D18"/>
    <w:rsid w:val="00720DDA"/>
    <w:rsid w:val="007225A5"/>
    <w:rsid w:val="00727E6E"/>
    <w:rsid w:val="007456C6"/>
    <w:rsid w:val="007517E0"/>
    <w:rsid w:val="00756DA5"/>
    <w:rsid w:val="00761DE7"/>
    <w:rsid w:val="00763269"/>
    <w:rsid w:val="0076477B"/>
    <w:rsid w:val="007665B3"/>
    <w:rsid w:val="00777968"/>
    <w:rsid w:val="00783C92"/>
    <w:rsid w:val="00787DEA"/>
    <w:rsid w:val="007901A0"/>
    <w:rsid w:val="007B0EB1"/>
    <w:rsid w:val="007B3E41"/>
    <w:rsid w:val="007B47EF"/>
    <w:rsid w:val="007C229B"/>
    <w:rsid w:val="007D360D"/>
    <w:rsid w:val="007D5692"/>
    <w:rsid w:val="007D7EFB"/>
    <w:rsid w:val="007F169C"/>
    <w:rsid w:val="007F41F6"/>
    <w:rsid w:val="00806416"/>
    <w:rsid w:val="00807EA0"/>
    <w:rsid w:val="0081144C"/>
    <w:rsid w:val="00813C7F"/>
    <w:rsid w:val="0081430E"/>
    <w:rsid w:val="00817E3D"/>
    <w:rsid w:val="0082295B"/>
    <w:rsid w:val="008237BD"/>
    <w:rsid w:val="00826EF6"/>
    <w:rsid w:val="00830B7C"/>
    <w:rsid w:val="008418D4"/>
    <w:rsid w:val="00844844"/>
    <w:rsid w:val="00854C49"/>
    <w:rsid w:val="008565AC"/>
    <w:rsid w:val="00856B61"/>
    <w:rsid w:val="00863E81"/>
    <w:rsid w:val="00865030"/>
    <w:rsid w:val="008677C4"/>
    <w:rsid w:val="00873D71"/>
    <w:rsid w:val="0087719D"/>
    <w:rsid w:val="0088390C"/>
    <w:rsid w:val="008842E3"/>
    <w:rsid w:val="00892DD7"/>
    <w:rsid w:val="00894AA2"/>
    <w:rsid w:val="008B0429"/>
    <w:rsid w:val="008B0516"/>
    <w:rsid w:val="008B07D7"/>
    <w:rsid w:val="008B642B"/>
    <w:rsid w:val="008B6446"/>
    <w:rsid w:val="008C0F53"/>
    <w:rsid w:val="008D461C"/>
    <w:rsid w:val="008D75B7"/>
    <w:rsid w:val="008D79D9"/>
    <w:rsid w:val="008E509C"/>
    <w:rsid w:val="008E53EE"/>
    <w:rsid w:val="009041D5"/>
    <w:rsid w:val="009047ED"/>
    <w:rsid w:val="00907115"/>
    <w:rsid w:val="0090740A"/>
    <w:rsid w:val="00914A3A"/>
    <w:rsid w:val="00920810"/>
    <w:rsid w:val="0092266A"/>
    <w:rsid w:val="0093004A"/>
    <w:rsid w:val="00931709"/>
    <w:rsid w:val="00934D9E"/>
    <w:rsid w:val="00936611"/>
    <w:rsid w:val="00947C81"/>
    <w:rsid w:val="00954399"/>
    <w:rsid w:val="00956034"/>
    <w:rsid w:val="00961B2E"/>
    <w:rsid w:val="00970C65"/>
    <w:rsid w:val="00974637"/>
    <w:rsid w:val="00976EB5"/>
    <w:rsid w:val="00980E16"/>
    <w:rsid w:val="00982BF4"/>
    <w:rsid w:val="009877EC"/>
    <w:rsid w:val="00996EE0"/>
    <w:rsid w:val="009A0451"/>
    <w:rsid w:val="009C485C"/>
    <w:rsid w:val="009E4B6A"/>
    <w:rsid w:val="009E64D3"/>
    <w:rsid w:val="009F1AEF"/>
    <w:rsid w:val="009F7256"/>
    <w:rsid w:val="009F7A02"/>
    <w:rsid w:val="00A24179"/>
    <w:rsid w:val="00A24C12"/>
    <w:rsid w:val="00A3153A"/>
    <w:rsid w:val="00A35C96"/>
    <w:rsid w:val="00A4532D"/>
    <w:rsid w:val="00A51128"/>
    <w:rsid w:val="00A51825"/>
    <w:rsid w:val="00A55506"/>
    <w:rsid w:val="00A66E07"/>
    <w:rsid w:val="00A730CF"/>
    <w:rsid w:val="00A84D28"/>
    <w:rsid w:val="00A87B57"/>
    <w:rsid w:val="00A90F13"/>
    <w:rsid w:val="00AA2B93"/>
    <w:rsid w:val="00AA3CD2"/>
    <w:rsid w:val="00AB48EA"/>
    <w:rsid w:val="00AB7DCD"/>
    <w:rsid w:val="00AC4955"/>
    <w:rsid w:val="00AC7304"/>
    <w:rsid w:val="00AC7F64"/>
    <w:rsid w:val="00AD5F25"/>
    <w:rsid w:val="00AE74BC"/>
    <w:rsid w:val="00AE7962"/>
    <w:rsid w:val="00AF4ACF"/>
    <w:rsid w:val="00B04684"/>
    <w:rsid w:val="00B1045E"/>
    <w:rsid w:val="00B11587"/>
    <w:rsid w:val="00B12C75"/>
    <w:rsid w:val="00B264EC"/>
    <w:rsid w:val="00B415B7"/>
    <w:rsid w:val="00B4488C"/>
    <w:rsid w:val="00B44CAC"/>
    <w:rsid w:val="00B5001C"/>
    <w:rsid w:val="00B525A7"/>
    <w:rsid w:val="00B5767C"/>
    <w:rsid w:val="00B57CB4"/>
    <w:rsid w:val="00B609BF"/>
    <w:rsid w:val="00B6713A"/>
    <w:rsid w:val="00B77115"/>
    <w:rsid w:val="00B83637"/>
    <w:rsid w:val="00B87340"/>
    <w:rsid w:val="00B91611"/>
    <w:rsid w:val="00B9382B"/>
    <w:rsid w:val="00B9600C"/>
    <w:rsid w:val="00BB37B2"/>
    <w:rsid w:val="00BB4A1A"/>
    <w:rsid w:val="00BB74FB"/>
    <w:rsid w:val="00BC075B"/>
    <w:rsid w:val="00BC3096"/>
    <w:rsid w:val="00BD084B"/>
    <w:rsid w:val="00BD1845"/>
    <w:rsid w:val="00BF54C7"/>
    <w:rsid w:val="00C01B5F"/>
    <w:rsid w:val="00C06FB4"/>
    <w:rsid w:val="00C07301"/>
    <w:rsid w:val="00C10777"/>
    <w:rsid w:val="00C1139F"/>
    <w:rsid w:val="00C147F7"/>
    <w:rsid w:val="00C14E05"/>
    <w:rsid w:val="00C1755D"/>
    <w:rsid w:val="00C4460B"/>
    <w:rsid w:val="00C54C0E"/>
    <w:rsid w:val="00C560BF"/>
    <w:rsid w:val="00C6112F"/>
    <w:rsid w:val="00C62F8A"/>
    <w:rsid w:val="00C63099"/>
    <w:rsid w:val="00C822DF"/>
    <w:rsid w:val="00C95001"/>
    <w:rsid w:val="00C952C8"/>
    <w:rsid w:val="00C9727D"/>
    <w:rsid w:val="00CA2880"/>
    <w:rsid w:val="00CC50A7"/>
    <w:rsid w:val="00CD7260"/>
    <w:rsid w:val="00CE5FC4"/>
    <w:rsid w:val="00CF47E3"/>
    <w:rsid w:val="00CF74E1"/>
    <w:rsid w:val="00D01B79"/>
    <w:rsid w:val="00D06152"/>
    <w:rsid w:val="00D24AE4"/>
    <w:rsid w:val="00D353C0"/>
    <w:rsid w:val="00D41C83"/>
    <w:rsid w:val="00D43CFA"/>
    <w:rsid w:val="00D44666"/>
    <w:rsid w:val="00D558D3"/>
    <w:rsid w:val="00D61177"/>
    <w:rsid w:val="00D61EE6"/>
    <w:rsid w:val="00D63261"/>
    <w:rsid w:val="00D648A9"/>
    <w:rsid w:val="00D7318D"/>
    <w:rsid w:val="00D749E1"/>
    <w:rsid w:val="00D84B6F"/>
    <w:rsid w:val="00D961B3"/>
    <w:rsid w:val="00D97261"/>
    <w:rsid w:val="00DA384A"/>
    <w:rsid w:val="00DA6AB8"/>
    <w:rsid w:val="00DC1916"/>
    <w:rsid w:val="00DC6796"/>
    <w:rsid w:val="00DD325A"/>
    <w:rsid w:val="00DD7ECE"/>
    <w:rsid w:val="00DE1389"/>
    <w:rsid w:val="00DF7222"/>
    <w:rsid w:val="00DF7F5C"/>
    <w:rsid w:val="00E16590"/>
    <w:rsid w:val="00E213C8"/>
    <w:rsid w:val="00E238AC"/>
    <w:rsid w:val="00E2546F"/>
    <w:rsid w:val="00E323E4"/>
    <w:rsid w:val="00E33026"/>
    <w:rsid w:val="00E40BDA"/>
    <w:rsid w:val="00E459D1"/>
    <w:rsid w:val="00E503B9"/>
    <w:rsid w:val="00E5300B"/>
    <w:rsid w:val="00E6685F"/>
    <w:rsid w:val="00E7187D"/>
    <w:rsid w:val="00E768AE"/>
    <w:rsid w:val="00E7741B"/>
    <w:rsid w:val="00E86BCC"/>
    <w:rsid w:val="00E94FE5"/>
    <w:rsid w:val="00E96D3C"/>
    <w:rsid w:val="00EA6013"/>
    <w:rsid w:val="00EA6ACC"/>
    <w:rsid w:val="00EB25ED"/>
    <w:rsid w:val="00EB285D"/>
    <w:rsid w:val="00EC14F4"/>
    <w:rsid w:val="00EC3EAD"/>
    <w:rsid w:val="00EC5033"/>
    <w:rsid w:val="00EC5729"/>
    <w:rsid w:val="00EC583C"/>
    <w:rsid w:val="00EE1910"/>
    <w:rsid w:val="00EE1EE6"/>
    <w:rsid w:val="00EF20EC"/>
    <w:rsid w:val="00F0026A"/>
    <w:rsid w:val="00F11353"/>
    <w:rsid w:val="00F1310B"/>
    <w:rsid w:val="00F22030"/>
    <w:rsid w:val="00F3059E"/>
    <w:rsid w:val="00F3081B"/>
    <w:rsid w:val="00F30A67"/>
    <w:rsid w:val="00F3103C"/>
    <w:rsid w:val="00F31C11"/>
    <w:rsid w:val="00F343CD"/>
    <w:rsid w:val="00F47828"/>
    <w:rsid w:val="00F5215D"/>
    <w:rsid w:val="00F64802"/>
    <w:rsid w:val="00F71E95"/>
    <w:rsid w:val="00F73E3F"/>
    <w:rsid w:val="00F83151"/>
    <w:rsid w:val="00F95B1A"/>
    <w:rsid w:val="00FA33F6"/>
    <w:rsid w:val="00FB0901"/>
    <w:rsid w:val="00FB312D"/>
    <w:rsid w:val="00FC02CD"/>
    <w:rsid w:val="00FC246C"/>
    <w:rsid w:val="00FD1BE9"/>
    <w:rsid w:val="00FD3CD9"/>
    <w:rsid w:val="00FE52E2"/>
    <w:rsid w:val="00FF1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2E2969"/>
  <w15:docId w15:val="{EF15BC02-C57B-4428-BB6F-FEE77A4C3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95B"/>
    <w:rPr>
      <w:rFonts w:ascii="Calibri" w:eastAsia="Calibri" w:hAnsi="Calibri" w:cs="Times New Roman"/>
      <w:lang w:val="en-US"/>
    </w:rPr>
  </w:style>
  <w:style w:type="paragraph" w:styleId="Titlu4">
    <w:name w:val="heading 4"/>
    <w:basedOn w:val="Normal"/>
    <w:link w:val="Titlu4Caracter"/>
    <w:uiPriority w:val="9"/>
    <w:qFormat/>
    <w:rsid w:val="00092E0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82295B"/>
    <w:rPr>
      <w:color w:val="0563C1" w:themeColor="hyperlink"/>
      <w:u w:val="single"/>
    </w:rPr>
  </w:style>
  <w:style w:type="character" w:customStyle="1" w:styleId="docbody1">
    <w:name w:val="docbody1"/>
    <w:rsid w:val="0082295B"/>
  </w:style>
  <w:style w:type="paragraph" w:styleId="Listparagraf">
    <w:name w:val="List Paragraph"/>
    <w:basedOn w:val="Normal"/>
    <w:uiPriority w:val="34"/>
    <w:qFormat/>
    <w:rsid w:val="0082295B"/>
    <w:pPr>
      <w:ind w:left="720"/>
      <w:contextualSpacing/>
    </w:pPr>
  </w:style>
  <w:style w:type="paragraph" w:styleId="Textnotdesubsol">
    <w:name w:val="footnote text"/>
    <w:basedOn w:val="Normal"/>
    <w:link w:val="TextnotdesubsolCaracter"/>
    <w:uiPriority w:val="99"/>
    <w:semiHidden/>
    <w:unhideWhenUsed/>
    <w:rsid w:val="0082295B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  <w:lang w:val="ru-RU"/>
    </w:rPr>
  </w:style>
  <w:style w:type="character" w:customStyle="1" w:styleId="TextnotdesubsolCaracter">
    <w:name w:val="Text notă de subsol Caracter"/>
    <w:basedOn w:val="Fontdeparagrafimplicit"/>
    <w:link w:val="Textnotdesubsol"/>
    <w:uiPriority w:val="99"/>
    <w:semiHidden/>
    <w:rsid w:val="0082295B"/>
    <w:rPr>
      <w:sz w:val="20"/>
      <w:szCs w:val="20"/>
      <w:lang w:val="ru-RU"/>
    </w:rPr>
  </w:style>
  <w:style w:type="character" w:styleId="Referinnotdesubsol">
    <w:name w:val="footnote reference"/>
    <w:basedOn w:val="Fontdeparagrafimplicit"/>
    <w:uiPriority w:val="99"/>
    <w:semiHidden/>
    <w:unhideWhenUsed/>
    <w:rsid w:val="0082295B"/>
    <w:rPr>
      <w:vertAlign w:val="superscript"/>
    </w:rPr>
  </w:style>
  <w:style w:type="paragraph" w:styleId="Antet">
    <w:name w:val="header"/>
    <w:basedOn w:val="Normal"/>
    <w:link w:val="AntetCaracter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82295B"/>
    <w:rPr>
      <w:rFonts w:ascii="Calibri" w:eastAsia="Calibri" w:hAnsi="Calibri" w:cs="Times New Roman"/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82295B"/>
    <w:rPr>
      <w:rFonts w:ascii="Calibri" w:eastAsia="Calibri" w:hAnsi="Calibri" w:cs="Times New Roman"/>
      <w:lang w:val="en-US"/>
    </w:rPr>
  </w:style>
  <w:style w:type="character" w:customStyle="1" w:styleId="a">
    <w:name w:val="Основной текст_"/>
    <w:basedOn w:val="Fontdeparagrafimplicit"/>
    <w:link w:val="3"/>
    <w:rsid w:val="0082295B"/>
    <w:rPr>
      <w:rFonts w:ascii="Calibri" w:eastAsia="Calibri" w:hAnsi="Calibri" w:cs="Calibri"/>
      <w:sz w:val="14"/>
      <w:szCs w:val="14"/>
      <w:shd w:val="clear" w:color="auto" w:fill="FFFFFF"/>
    </w:rPr>
  </w:style>
  <w:style w:type="paragraph" w:customStyle="1" w:styleId="3">
    <w:name w:val="Основной текст3"/>
    <w:basedOn w:val="Normal"/>
    <w:link w:val="a"/>
    <w:rsid w:val="0082295B"/>
    <w:pPr>
      <w:widowControl w:val="0"/>
      <w:shd w:val="clear" w:color="auto" w:fill="FFFFFF"/>
      <w:spacing w:after="0" w:line="0" w:lineRule="atLeast"/>
      <w:jc w:val="both"/>
    </w:pPr>
    <w:rPr>
      <w:rFonts w:cs="Calibri"/>
      <w:sz w:val="14"/>
      <w:szCs w:val="14"/>
      <w:lang w:val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AB7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AB7DCD"/>
    <w:rPr>
      <w:rFonts w:ascii="Segoe UI" w:eastAsia="Calibri" w:hAnsi="Segoe UI" w:cs="Segoe UI"/>
      <w:sz w:val="18"/>
      <w:szCs w:val="18"/>
      <w:lang w:val="en-US"/>
    </w:rPr>
  </w:style>
  <w:style w:type="paragraph" w:customStyle="1" w:styleId="Default">
    <w:name w:val="Default"/>
    <w:rsid w:val="009A04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56E6B"/>
    <w:pPr>
      <w:spacing w:after="0" w:line="240" w:lineRule="auto"/>
      <w:ind w:firstLine="567"/>
      <w:jc w:val="both"/>
    </w:pPr>
    <w:rPr>
      <w:rFonts w:ascii="Times New Roman" w:eastAsiaTheme="minorEastAsia" w:hAnsi="Times New Roman"/>
      <w:sz w:val="24"/>
      <w:szCs w:val="24"/>
      <w:lang w:val="ro-RO" w:eastAsia="ro-RO"/>
    </w:rPr>
  </w:style>
  <w:style w:type="character" w:customStyle="1" w:styleId="Titlu4Caracter">
    <w:name w:val="Titlu 4 Caracter"/>
    <w:basedOn w:val="Fontdeparagrafimplicit"/>
    <w:link w:val="Titlu4"/>
    <w:uiPriority w:val="9"/>
    <w:rsid w:val="00092E07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styleId="Robust">
    <w:name w:val="Strong"/>
    <w:basedOn w:val="Fontdeparagrafimplicit"/>
    <w:uiPriority w:val="22"/>
    <w:qFormat/>
    <w:rsid w:val="00092E07"/>
    <w:rPr>
      <w:b/>
      <w:bCs/>
    </w:rPr>
  </w:style>
  <w:style w:type="table" w:styleId="Tabelgril">
    <w:name w:val="Table Grid"/>
    <w:basedOn w:val="TabelNormal"/>
    <w:uiPriority w:val="39"/>
    <w:rsid w:val="00783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reintens">
    <w:name w:val="Intense Emphasis"/>
    <w:uiPriority w:val="21"/>
    <w:qFormat/>
    <w:rsid w:val="004940ED"/>
    <w:rPr>
      <w:i/>
      <w:iCs/>
      <w:color w:val="5B9BD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7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Temp\Rar$DIa6928.37353\model%20ordin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o-R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algn="ctr">
              <a:defRPr/>
            </a:pPr>
            <a:r>
              <a:rPr lang="en-US"/>
              <a:t>C</a:t>
            </a:r>
            <a:r>
              <a:rPr lang="ro-RO"/>
              <a:t>heltuielile bugetare pentru întreţinerea </a:t>
            </a:r>
            <a:endParaRPr lang="en-US"/>
          </a:p>
          <a:p>
            <a:pPr algn="ctr">
              <a:defRPr/>
            </a:pPr>
            <a:r>
              <a:rPr lang="ro-RO"/>
              <a:t>Consiliului Audiovizualului </a:t>
            </a:r>
            <a:endParaRPr lang="ru-RU"/>
          </a:p>
        </c:rich>
      </c:tx>
      <c:overlay val="1"/>
    </c:title>
    <c:autoTitleDeleted val="0"/>
    <c:view3D>
      <c:rotX val="30"/>
      <c:rotY val="0"/>
      <c:rAngAx val="0"/>
      <c:perspective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2381314057647399"/>
          <c:y val="0.46130084354791168"/>
          <c:w val="0.51216012502253883"/>
          <c:h val="0.49792171730678053"/>
        </c:manualLayout>
      </c:layout>
      <c:pie3DChart>
        <c:varyColors val="1"/>
        <c:ser>
          <c:idx val="0"/>
          <c:order val="0"/>
          <c:explosion val="16"/>
          <c:dPt>
            <c:idx val="1"/>
            <c:bubble3D val="0"/>
            <c:explosion val="0"/>
            <c:extLst>
              <c:ext xmlns:c16="http://schemas.microsoft.com/office/drawing/2014/chart" uri="{C3380CC4-5D6E-409C-BE32-E72D297353CC}">
                <c16:uniqueId val="{00000000-4FFE-4513-A5D9-E1E5FD78DB1B}"/>
              </c:ext>
            </c:extLst>
          </c:dPt>
          <c:dPt>
            <c:idx val="2"/>
            <c:bubble3D val="0"/>
            <c:explosion val="1"/>
            <c:extLst>
              <c:ext xmlns:c16="http://schemas.microsoft.com/office/drawing/2014/chart" uri="{C3380CC4-5D6E-409C-BE32-E72D297353CC}">
                <c16:uniqueId val="{00000001-4FFE-4513-A5D9-E1E5FD78DB1B}"/>
              </c:ext>
            </c:extLst>
          </c:dPt>
          <c:dPt>
            <c:idx val="3"/>
            <c:bubble3D val="0"/>
            <c:explosion val="3"/>
            <c:extLst>
              <c:ext xmlns:c16="http://schemas.microsoft.com/office/drawing/2014/chart" uri="{C3380CC4-5D6E-409C-BE32-E72D297353CC}">
                <c16:uniqueId val="{00000002-4FFE-4513-A5D9-E1E5FD78DB1B}"/>
              </c:ext>
            </c:extLst>
          </c:dPt>
          <c:dPt>
            <c:idx val="4"/>
            <c:bubble3D val="0"/>
            <c:explosion val="6"/>
            <c:extLst>
              <c:ext xmlns:c16="http://schemas.microsoft.com/office/drawing/2014/chart" uri="{C3380CC4-5D6E-409C-BE32-E72D297353CC}">
                <c16:uniqueId val="{00000003-4FFE-4513-A5D9-E1E5FD78DB1B}"/>
              </c:ext>
            </c:extLst>
          </c:dPt>
          <c:dPt>
            <c:idx val="5"/>
            <c:bubble3D val="0"/>
            <c:explosion val="11"/>
            <c:extLst>
              <c:ext xmlns:c16="http://schemas.microsoft.com/office/drawing/2014/chart" uri="{C3380CC4-5D6E-409C-BE32-E72D297353CC}">
                <c16:uniqueId val="{00000004-4FFE-4513-A5D9-E1E5FD78DB1B}"/>
              </c:ext>
            </c:extLst>
          </c:dPt>
          <c:dPt>
            <c:idx val="6"/>
            <c:bubble3D val="0"/>
            <c:explosion val="8"/>
            <c:extLst>
              <c:ext xmlns:c16="http://schemas.microsoft.com/office/drawing/2014/chart" uri="{C3380CC4-5D6E-409C-BE32-E72D297353CC}">
                <c16:uniqueId val="{00000005-4FFE-4513-A5D9-E1E5FD78DB1B}"/>
              </c:ext>
            </c:extLst>
          </c:dPt>
          <c:dPt>
            <c:idx val="7"/>
            <c:bubble3D val="0"/>
            <c:explosion val="12"/>
            <c:extLst>
              <c:ext xmlns:c16="http://schemas.microsoft.com/office/drawing/2014/chart" uri="{C3380CC4-5D6E-409C-BE32-E72D297353CC}">
                <c16:uniqueId val="{00000006-4FFE-4513-A5D9-E1E5FD78DB1B}"/>
              </c:ext>
            </c:extLst>
          </c:dPt>
          <c:dLbls>
            <c:dLbl>
              <c:idx val="0"/>
              <c:layout>
                <c:manualLayout>
                  <c:x val="3.5209487702926055E-2"/>
                  <c:y val="-6.4011998500187503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Retribuirea muncii</a:t>
                    </a:r>
                  </a:p>
                  <a:p>
                    <a:pPr>
                      <a:defRPr/>
                    </a:pPr>
                    <a:r>
                      <a:rPr lang="en-US"/>
                      <a:t>58,21%</a:t>
                    </a:r>
                  </a:p>
                </c:rich>
              </c:tx>
              <c:numFmt formatCode="0.00%" sourceLinked="0"/>
              <c:spPr>
                <a:solidFill>
                  <a:schemeClr val="lt1"/>
                </a:solidFill>
                <a:ln w="25458" cap="flat" cmpd="sng" algn="ctr">
                  <a:solidFill>
                    <a:schemeClr val="dk1"/>
                  </a:solidFill>
                  <a:prstDash val="solid"/>
                </a:ln>
                <a:effectLst/>
              </c:spPr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4FFE-4513-A5D9-E1E5FD78DB1B}"/>
                </c:ext>
              </c:extLst>
            </c:dLbl>
            <c:dLbl>
              <c:idx val="1"/>
              <c:layout>
                <c:manualLayout>
                  <c:x val="-1.5624680578294083E-2"/>
                  <c:y val="1.6437248522418804E-2"/>
                </c:manualLayout>
              </c:layout>
              <c:tx>
                <c:rich>
                  <a:bodyPr wrap="square" lIns="38100" tIns="19050" rIns="38100" bIns="19050" anchor="ctr">
                    <a:no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Servicii</a:t>
                    </a:r>
                  </a:p>
                  <a:p>
                    <a:pPr>
                      <a:defRPr/>
                    </a:pPr>
                    <a:r>
                      <a:rPr lang="en-US"/>
                      <a:t>15,18%</a:t>
                    </a:r>
                  </a:p>
                </c:rich>
              </c:tx>
              <c:numFmt formatCode="0.00%" sourceLinked="0"/>
              <c:spPr>
                <a:solidFill>
                  <a:schemeClr val="lt1"/>
                </a:solidFill>
                <a:ln w="25458" cap="flat" cmpd="sng" algn="ctr">
                  <a:solidFill>
                    <a:schemeClr val="dk1"/>
                  </a:solidFill>
                  <a:prstDash val="solid"/>
                </a:ln>
                <a:effectLst/>
              </c:spPr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0.17805271865769251"/>
                      <c:h val="8.9356153219233903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0-4FFE-4513-A5D9-E1E5FD78DB1B}"/>
                </c:ext>
              </c:extLst>
            </c:dLbl>
            <c:dLbl>
              <c:idx val="2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FFE-4513-A5D9-E1E5FD78DB1B}"/>
                </c:ext>
              </c:extLst>
            </c:dLbl>
            <c:dLbl>
              <c:idx val="3"/>
              <c:layout>
                <c:manualLayout>
                  <c:x val="-5.0768536400224024E-3"/>
                  <c:y val="-2.9420006709688831E-3"/>
                </c:manualLayout>
              </c:layout>
              <c:tx>
                <c:rich>
                  <a:bodyPr wrap="square" lIns="38100" tIns="19050" rIns="38100" bIns="19050" anchor="ctr">
                    <a:no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Cotizații</a:t>
                    </a:r>
                    <a:r>
                      <a:rPr lang="en-US" baseline="0"/>
                      <a:t> și taxe obligatorii</a:t>
                    </a:r>
                    <a:endParaRPr lang="en-US"/>
                  </a:p>
                  <a:p>
                    <a:pPr>
                      <a:defRPr/>
                    </a:pPr>
                    <a:r>
                      <a:rPr lang="en-US"/>
                      <a:t>0,93%</a:t>
                    </a:r>
                  </a:p>
                </c:rich>
              </c:tx>
              <c:numFmt formatCode="0.00%" sourceLinked="0"/>
              <c:spPr>
                <a:solidFill>
                  <a:schemeClr val="lt1"/>
                </a:solidFill>
                <a:ln w="25458" cap="flat" cmpd="sng" algn="ctr">
                  <a:solidFill>
                    <a:schemeClr val="dk1"/>
                  </a:solidFill>
                  <a:prstDash val="solid"/>
                </a:ln>
                <a:effectLst/>
              </c:spPr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0.18063806380638064"/>
                      <c:h val="0.12914438262454356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2-4FFE-4513-A5D9-E1E5FD78DB1B}"/>
                </c:ext>
              </c:extLst>
            </c:dLbl>
            <c:dLbl>
              <c:idx val="4"/>
              <c:layout>
                <c:manualLayout>
                  <c:x val="-5.3068464481155576E-2"/>
                  <c:y val="-7.0548853807067213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Contribuții</a:t>
                    </a:r>
                    <a:r>
                      <a:rPr lang="en-US" baseline="0"/>
                      <a:t> </a:t>
                    </a:r>
                    <a:r>
                      <a:rPr lang="en-US"/>
                      <a:t>de asigurări obligatorii</a:t>
                    </a:r>
                  </a:p>
                  <a:p>
                    <a:pPr>
                      <a:defRPr/>
                    </a:pPr>
                    <a:r>
                      <a:rPr lang="en-US"/>
                      <a:t>16,89 %</a:t>
                    </a:r>
                  </a:p>
                </c:rich>
              </c:tx>
              <c:numFmt formatCode="0.00%" sourceLinked="0"/>
              <c:spPr>
                <a:solidFill>
                  <a:schemeClr val="lt1"/>
                </a:solidFill>
                <a:ln w="25458" cap="flat" cmpd="sng" algn="ctr">
                  <a:solidFill>
                    <a:schemeClr val="dk1"/>
                  </a:solidFill>
                  <a:prstDash val="solid"/>
                </a:ln>
                <a:effectLst/>
              </c:spPr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4FFE-4513-A5D9-E1E5FD78DB1B}"/>
                </c:ext>
              </c:extLst>
            </c:dLbl>
            <c:dLbl>
              <c:idx val="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4FFE-4513-A5D9-E1E5FD78DB1B}"/>
                </c:ext>
              </c:extLst>
            </c:dLbl>
            <c:dLbl>
              <c:idx val="6"/>
              <c:layout>
                <c:manualLayout>
                  <c:x val="0.25215907417513395"/>
                  <c:y val="-0.12334879900403649"/>
                </c:manualLayout>
              </c:layout>
              <c:tx>
                <c:rich>
                  <a:bodyPr wrap="square" lIns="38100" tIns="19050" rIns="38100" bIns="19050" anchor="ctr">
                    <a:no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Mijloace fixe</a:t>
                    </a:r>
                  </a:p>
                  <a:p>
                    <a:pPr>
                      <a:defRPr/>
                    </a:pPr>
                    <a:r>
                      <a:rPr lang="en-US"/>
                      <a:t>3,61%</a:t>
                    </a:r>
                  </a:p>
                </c:rich>
              </c:tx>
              <c:numFmt formatCode="0.00%" sourceLinked="0"/>
              <c:spPr>
                <a:solidFill>
                  <a:schemeClr val="lt1"/>
                </a:solidFill>
                <a:ln w="25458" cap="flat" cmpd="sng" algn="ctr">
                  <a:solidFill>
                    <a:schemeClr val="dk1"/>
                  </a:solidFill>
                  <a:prstDash val="solid"/>
                </a:ln>
                <a:effectLst/>
              </c:spPr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0.13578666528070127"/>
                      <c:h val="0.16107579462102686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5-4FFE-4513-A5D9-E1E5FD78DB1B}"/>
                </c:ext>
              </c:extLst>
            </c:dLbl>
            <c:dLbl>
              <c:idx val="7"/>
              <c:layout>
                <c:manualLayout>
                  <c:x val="0.38248780783590169"/>
                  <c:y val="3.8979907462667412E-2"/>
                </c:manualLayout>
              </c:layout>
              <c:tx>
                <c:rich>
                  <a:bodyPr wrap="square" lIns="38100" tIns="19050" rIns="38100" bIns="19050" anchor="ctr">
                    <a:no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Stocuri de materiale circulante                 2,53%</a:t>
                    </a:r>
                  </a:p>
                </c:rich>
              </c:tx>
              <c:numFmt formatCode="0.00%" sourceLinked="0"/>
              <c:spPr>
                <a:solidFill>
                  <a:schemeClr val="lt1"/>
                </a:solidFill>
                <a:ln w="25458" cap="flat" cmpd="sng" algn="ctr">
                  <a:solidFill>
                    <a:schemeClr val="dk1"/>
                  </a:solidFill>
                  <a:prstDash val="solid"/>
                </a:ln>
                <a:effectLst/>
              </c:spPr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showDataLabelsRange val="0"/>
                </c:ext>
                <c:ext xmlns:c16="http://schemas.microsoft.com/office/drawing/2014/chart" uri="{C3380CC4-5D6E-409C-BE32-E72D297353CC}">
                  <c16:uniqueId val="{00000006-4FFE-4513-A5D9-E1E5FD78DB1B}"/>
                </c:ext>
              </c:extLst>
            </c:dLbl>
            <c:numFmt formatCode="0.00%" sourceLinked="0"/>
            <c:spPr>
              <a:solidFill>
                <a:schemeClr val="lt1"/>
              </a:solidFill>
              <a:ln w="25458" cap="flat" cmpd="sng" algn="ctr">
                <a:solidFill>
                  <a:schemeClr val="dk1"/>
                </a:solidFill>
                <a:prstDash val="solid"/>
              </a:ln>
              <a:effectLst/>
            </c:spPr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Лист1!$B$20:$B$27</c:f>
              <c:strCache>
                <c:ptCount val="8"/>
                <c:pt idx="0">
                  <c:v>Retribuirea muncii</c:v>
                </c:pt>
                <c:pt idx="1">
                  <c:v>Servicii</c:v>
                </c:pt>
                <c:pt idx="2">
                  <c:v>Subsidii</c:v>
                </c:pt>
                <c:pt idx="3">
                  <c:v>Prestații sociale ale angajaților</c:v>
                </c:pt>
                <c:pt idx="4">
                  <c:v>Contribuții și prime de asigurări obligatorii</c:v>
                </c:pt>
                <c:pt idx="5">
                  <c:v>Cotizații și taxe obligatorii</c:v>
                </c:pt>
                <c:pt idx="6">
                  <c:v>Mijloace fixe</c:v>
                </c:pt>
                <c:pt idx="7">
                  <c:v>Stocuri de materiale circulante</c:v>
                </c:pt>
              </c:strCache>
            </c:strRef>
          </c:cat>
          <c:val>
            <c:numRef>
              <c:f>Лист1!$C$20:$C$27</c:f>
              <c:numCache>
                <c:formatCode>0.00000</c:formatCode>
                <c:ptCount val="8"/>
                <c:pt idx="0">
                  <c:v>65.679999999999978</c:v>
                </c:pt>
                <c:pt idx="1">
                  <c:v>12.14</c:v>
                </c:pt>
                <c:pt idx="2">
                  <c:v>0</c:v>
                </c:pt>
                <c:pt idx="3">
                  <c:v>0.31000000000000033</c:v>
                </c:pt>
                <c:pt idx="4">
                  <c:v>18.149999999999999</c:v>
                </c:pt>
                <c:pt idx="5">
                  <c:v>0.96000000000000063</c:v>
                </c:pt>
                <c:pt idx="6">
                  <c:v>1.29</c:v>
                </c:pt>
                <c:pt idx="7">
                  <c:v>1.47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FFE-4513-A5D9-E1E5FD78DB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 w="25399">
          <a:noFill/>
        </a:ln>
      </c:spPr>
    </c:plotArea>
    <c:plotVisOnly val="1"/>
    <c:dispBlanksAs val="zero"/>
    <c:showDLblsOverMax val="0"/>
  </c:chart>
  <c:spPr>
    <a:solidFill>
      <a:schemeClr val="lt1"/>
    </a:solidFill>
    <a:ln w="25458" cap="flat" cmpd="sng" algn="ctr">
      <a:solidFill>
        <a:schemeClr val="bg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2">
    <c:autoUpdate val="0"/>
  </c:externalData>
  <c:userShapes r:id="rId3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0.30464</cdr:x>
      <cdr:y>0.15852</cdr:y>
    </cdr:from>
    <cdr:to>
      <cdr:x>0.47762</cdr:x>
      <cdr:y>0.2675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2321983" y="785283"/>
          <a:ext cx="1316567" cy="5397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endParaRPr lang="ru-RU"/>
        </a:p>
      </cdr:txBody>
    </cdr:sp>
  </cdr:relSizeAnchor>
  <cdr:relSizeAnchor xmlns:cdr="http://schemas.openxmlformats.org/drawingml/2006/chartDrawing">
    <cdr:from>
      <cdr:x>0.32041</cdr:x>
      <cdr:y>0.33577</cdr:y>
    </cdr:from>
    <cdr:to>
      <cdr:x>0.44453</cdr:x>
      <cdr:y>0.50033</cdr:y>
    </cdr:to>
    <cdr:cxnSp macro="">
      <cdr:nvCxnSpPr>
        <cdr:cNvPr id="10" name="Прямая соединительная линия 9"/>
        <cdr:cNvCxnSpPr/>
      </cdr:nvCxnSpPr>
      <cdr:spPr>
        <a:xfrm xmlns:a="http://schemas.openxmlformats.org/drawingml/2006/main">
          <a:off x="1849456" y="1308087"/>
          <a:ext cx="716440" cy="641042"/>
        </a:xfrm>
        <a:prstGeom xmlns:a="http://schemas.openxmlformats.org/drawingml/2006/main" prst="line">
          <a:avLst/>
        </a:prstGeom>
      </cdr:spPr>
      <cdr:style>
        <a:lnRef xmlns:a="http://schemas.openxmlformats.org/drawingml/2006/main" idx="1">
          <a:schemeClr val="dk1"/>
        </a:lnRef>
        <a:fillRef xmlns:a="http://schemas.openxmlformats.org/drawingml/2006/main" idx="0">
          <a:schemeClr val="dk1"/>
        </a:fillRef>
        <a:effectRef xmlns:a="http://schemas.openxmlformats.org/drawingml/2006/main" idx="0">
          <a:schemeClr val="dk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0.29949</cdr:x>
      <cdr:y>0.25103</cdr:y>
    </cdr:from>
    <cdr:to>
      <cdr:x>0.41677</cdr:x>
      <cdr:y>0.42049</cdr:y>
    </cdr:to>
    <cdr:sp macro="" textlink="">
      <cdr:nvSpPr>
        <cdr:cNvPr id="4" name="TextBox 3"/>
        <cdr:cNvSpPr txBox="1"/>
      </cdr:nvSpPr>
      <cdr:spPr>
        <a:xfrm xmlns:a="http://schemas.openxmlformats.org/drawingml/2006/main">
          <a:off x="2342092" y="1354666"/>
          <a:ext cx="914400" cy="914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endParaRPr lang="ru-RU"/>
        </a:p>
      </cdr:txBody>
    </cdr:sp>
  </cdr:relSizeAnchor>
  <cdr:relSizeAnchor xmlns:cdr="http://schemas.openxmlformats.org/drawingml/2006/chartDrawing">
    <cdr:from>
      <cdr:x>0.2681</cdr:x>
      <cdr:y>0.16252</cdr:y>
    </cdr:from>
    <cdr:to>
      <cdr:x>0.41487</cdr:x>
      <cdr:y>0.35455</cdr:y>
    </cdr:to>
    <cdr:sp macro="" textlink="">
      <cdr:nvSpPr>
        <cdr:cNvPr id="5" name="TextBox 4"/>
        <cdr:cNvSpPr txBox="1"/>
      </cdr:nvSpPr>
      <cdr:spPr>
        <a:xfrm xmlns:a="http://schemas.openxmlformats.org/drawingml/2006/main">
          <a:off x="2098675" y="878416"/>
          <a:ext cx="1143000" cy="103716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endParaRPr lang="ru-RU"/>
        </a:p>
      </cdr:txBody>
    </cdr:sp>
  </cdr:relSizeAnchor>
  <cdr:relSizeAnchor xmlns:cdr="http://schemas.openxmlformats.org/drawingml/2006/chartDrawing">
    <cdr:from>
      <cdr:x>0.28976</cdr:x>
      <cdr:y>0.2176</cdr:y>
    </cdr:from>
    <cdr:to>
      <cdr:x>0.44719</cdr:x>
      <cdr:y>0.3643</cdr:y>
    </cdr:to>
    <cdr:sp macro="" textlink="">
      <cdr:nvSpPr>
        <cdr:cNvPr id="6" name="Блок-схема: процесс 5"/>
        <cdr:cNvSpPr/>
      </cdr:nvSpPr>
      <cdr:spPr>
        <a:xfrm xmlns:a="http://schemas.openxmlformats.org/drawingml/2006/main">
          <a:off x="1672538" y="847725"/>
          <a:ext cx="908737" cy="571499"/>
        </a:xfrm>
        <a:prstGeom xmlns:a="http://schemas.openxmlformats.org/drawingml/2006/main" prst="flowChartProcess">
          <a:avLst/>
        </a:prstGeom>
      </cdr:spPr>
      <cdr:style>
        <a:lnRef xmlns:a="http://schemas.openxmlformats.org/drawingml/2006/main" idx="2">
          <a:schemeClr val="dk1"/>
        </a:lnRef>
        <a:fillRef xmlns:a="http://schemas.openxmlformats.org/drawingml/2006/main" idx="1">
          <a:schemeClr val="lt1"/>
        </a:fillRef>
        <a:effectRef xmlns:a="http://schemas.openxmlformats.org/drawingml/2006/main" idx="0">
          <a:schemeClr val="dk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pPr algn="ctr">
            <a:lnSpc>
              <a:spcPts val="1200"/>
            </a:lnSpc>
          </a:pPr>
          <a:r>
            <a:rPr lang="ro-RO" sz="1000" baseline="0">
              <a:solidFill>
                <a:schemeClr val="tx1"/>
              </a:solidFill>
            </a:rPr>
            <a:t>Prestații sociale</a:t>
          </a:r>
        </a:p>
        <a:p xmlns:a="http://schemas.openxmlformats.org/drawingml/2006/main">
          <a:pPr algn="ctr">
            <a:lnSpc>
              <a:spcPts val="1200"/>
            </a:lnSpc>
          </a:pPr>
          <a:r>
            <a:rPr lang="ro-RO" sz="1000" baseline="0">
              <a:solidFill>
                <a:schemeClr val="tx1"/>
              </a:solidFill>
            </a:rPr>
            <a:t>2,65%</a:t>
          </a:r>
          <a:endParaRPr lang="ru-RU" sz="1000">
            <a:solidFill>
              <a:schemeClr val="tx1"/>
            </a:solidFill>
          </a:endParaRPr>
        </a:p>
      </cdr:txBody>
    </cdr:sp>
  </cdr:relSizeAnchor>
</c:userShape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model ordin</Template>
  <TotalTime>10</TotalTime>
  <Pages>4</Pages>
  <Words>1270</Words>
  <Characters>7242</Characters>
  <Application>Microsoft Office Word</Application>
  <DocSecurity>0</DocSecurity>
  <Lines>60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8496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 Admin</cp:lastModifiedBy>
  <cp:revision>3</cp:revision>
  <cp:lastPrinted>2022-12-08T13:29:00Z</cp:lastPrinted>
  <dcterms:created xsi:type="dcterms:W3CDTF">2023-04-10T11:43:00Z</dcterms:created>
  <dcterms:modified xsi:type="dcterms:W3CDTF">2023-04-10T11:53:00Z</dcterms:modified>
</cp:coreProperties>
</file>