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elgril"/>
        <w:tblW w:w="9918" w:type="dxa"/>
        <w:tblLook w:val="04A0" w:firstRow="1" w:lastRow="0" w:firstColumn="1" w:lastColumn="0" w:noHBand="0" w:noVBand="1"/>
      </w:tblPr>
      <w:tblGrid>
        <w:gridCol w:w="1548"/>
        <w:gridCol w:w="8370"/>
      </w:tblGrid>
      <w:tr w:rsidR="0025638B" w:rsidRPr="00976EB5" w14:paraId="350B99E9" w14:textId="77777777" w:rsidTr="00A81C0E">
        <w:tc>
          <w:tcPr>
            <w:tcW w:w="1548" w:type="dxa"/>
            <w:tcBorders>
              <w:top w:val="nil"/>
              <w:left w:val="nil"/>
              <w:bottom w:val="nil"/>
              <w:right w:val="nil"/>
            </w:tcBorders>
          </w:tcPr>
          <w:p w14:paraId="706EAC26" w14:textId="567EC014" w:rsidR="0025638B" w:rsidRPr="00D01B79" w:rsidRDefault="0025638B" w:rsidP="0025638B">
            <w:pPr>
              <w:spacing w:line="240" w:lineRule="auto"/>
              <w:ind w:left="-900"/>
              <w:jc w:val="center"/>
              <w:rPr>
                <w:rFonts w:cstheme="minorHAnsi"/>
              </w:rPr>
            </w:pPr>
            <w:r>
              <w:rPr>
                <w:rFonts w:cstheme="minorHAnsi"/>
                <w:noProof/>
                <w:lang w:val="ru-RU" w:eastAsia="ru-RU"/>
              </w:rPr>
              <w:drawing>
                <wp:anchor distT="0" distB="0" distL="114300" distR="114300" simplePos="0" relativeHeight="251659264" behindDoc="0" locked="0" layoutInCell="1" allowOverlap="1" wp14:anchorId="191C542B" wp14:editId="191E2946">
                  <wp:simplePos x="0" y="0"/>
                  <wp:positionH relativeFrom="column">
                    <wp:posOffset>402010</wp:posOffset>
                  </wp:positionH>
                  <wp:positionV relativeFrom="paragraph">
                    <wp:posOffset>-5301</wp:posOffset>
                  </wp:positionV>
                  <wp:extent cx="574040" cy="593090"/>
                  <wp:effectExtent l="19050" t="0" r="0" b="0"/>
                  <wp:wrapNone/>
                  <wp:docPr id="6" name="Рисунок 2" descr="Description: moldova_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Description: moldova_stem"/>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4040" cy="593090"/>
                          </a:xfrm>
                          <a:prstGeom prst="rect">
                            <a:avLst/>
                          </a:prstGeom>
                          <a:noFill/>
                          <a:ln>
                            <a:noFill/>
                          </a:ln>
                        </pic:spPr>
                      </pic:pic>
                    </a:graphicData>
                  </a:graphic>
                </wp:anchor>
              </w:drawing>
            </w:r>
          </w:p>
          <w:p w14:paraId="60CF1787" w14:textId="7A48D0CA" w:rsidR="0025638B" w:rsidRPr="00D01B79" w:rsidRDefault="0025638B" w:rsidP="0025638B">
            <w:pPr>
              <w:spacing w:line="240" w:lineRule="auto"/>
              <w:ind w:left="-900"/>
              <w:jc w:val="center"/>
              <w:rPr>
                <w:rFonts w:cstheme="minorHAnsi"/>
              </w:rPr>
            </w:pPr>
          </w:p>
        </w:tc>
        <w:tc>
          <w:tcPr>
            <w:tcW w:w="8370" w:type="dxa"/>
            <w:tcBorders>
              <w:top w:val="nil"/>
              <w:left w:val="nil"/>
              <w:bottom w:val="nil"/>
              <w:right w:val="nil"/>
            </w:tcBorders>
          </w:tcPr>
          <w:p w14:paraId="03C67B46" w14:textId="77777777" w:rsidR="0025638B" w:rsidRPr="0025638B" w:rsidRDefault="0025638B" w:rsidP="0025638B">
            <w:pPr>
              <w:tabs>
                <w:tab w:val="left" w:pos="361"/>
                <w:tab w:val="center" w:pos="4677"/>
                <w:tab w:val="right" w:pos="9355"/>
              </w:tabs>
              <w:spacing w:after="0" w:line="240" w:lineRule="auto"/>
              <w:ind w:left="-900"/>
              <w:jc w:val="center"/>
              <w:rPr>
                <w:rFonts w:eastAsia="Times New Roman" w:cstheme="minorHAnsi"/>
                <w:b/>
                <w:sz w:val="24"/>
                <w:szCs w:val="24"/>
                <w:lang w:eastAsia="ru-RU"/>
              </w:rPr>
            </w:pPr>
          </w:p>
          <w:p w14:paraId="7073EF1D" w14:textId="77777777" w:rsidR="0025638B" w:rsidRPr="00D01B79" w:rsidRDefault="0025638B" w:rsidP="0025638B">
            <w:pPr>
              <w:tabs>
                <w:tab w:val="left" w:pos="361"/>
                <w:tab w:val="center" w:pos="4677"/>
                <w:tab w:val="right" w:pos="9355"/>
              </w:tabs>
              <w:spacing w:line="240" w:lineRule="auto"/>
              <w:ind w:left="-900"/>
              <w:jc w:val="center"/>
              <w:rPr>
                <w:rFonts w:eastAsia="Times New Roman" w:cstheme="minorHAnsi"/>
                <w:b/>
                <w:sz w:val="28"/>
                <w:szCs w:val="28"/>
                <w:lang w:eastAsia="ro-RO"/>
              </w:rPr>
            </w:pPr>
            <w:r w:rsidRPr="00D01B79">
              <w:rPr>
                <w:rFonts w:eastAsia="Times New Roman" w:cstheme="minorHAnsi"/>
                <w:b/>
                <w:sz w:val="28"/>
                <w:szCs w:val="28"/>
                <w:lang w:eastAsia="ru-RU"/>
              </w:rPr>
              <w:t>CONSILIUL AUDIOVIZUALULUI AL REPUBLICII MOLDOVA</w:t>
            </w:r>
          </w:p>
          <w:p w14:paraId="2AA91EB4" w14:textId="77777777" w:rsidR="0025638B" w:rsidRPr="00976EB5" w:rsidRDefault="0025638B" w:rsidP="0025638B">
            <w:pPr>
              <w:spacing w:line="240" w:lineRule="auto"/>
              <w:ind w:right="-365"/>
              <w:jc w:val="center"/>
              <w:rPr>
                <w:rFonts w:eastAsia="Times New Roman" w:cstheme="minorHAnsi"/>
                <w:sz w:val="14"/>
                <w:szCs w:val="14"/>
                <w:lang w:eastAsia="ru-RU"/>
              </w:rPr>
            </w:pPr>
          </w:p>
        </w:tc>
      </w:tr>
    </w:tbl>
    <w:p w14:paraId="2F27C73A" w14:textId="77777777" w:rsidR="00FD1845" w:rsidRDefault="00FD1845" w:rsidP="0025638B">
      <w:pPr>
        <w:spacing w:after="0" w:line="240" w:lineRule="auto"/>
        <w:jc w:val="center"/>
        <w:rPr>
          <w:rFonts w:ascii="Times New Roman" w:hAnsi="Times New Roman"/>
          <w:sz w:val="24"/>
          <w:szCs w:val="24"/>
          <w:lang w:val="ro-RO"/>
        </w:rPr>
      </w:pPr>
    </w:p>
    <w:p w14:paraId="67A69839" w14:textId="77777777" w:rsidR="0025638B" w:rsidRDefault="0025638B" w:rsidP="0025638B">
      <w:pPr>
        <w:spacing w:after="0" w:line="240" w:lineRule="auto"/>
        <w:jc w:val="center"/>
        <w:rPr>
          <w:rFonts w:ascii="Times New Roman" w:hAnsi="Times New Roman"/>
          <w:sz w:val="24"/>
          <w:szCs w:val="24"/>
          <w:lang w:val="ro-RO"/>
        </w:rPr>
      </w:pPr>
    </w:p>
    <w:p w14:paraId="2412D8E9" w14:textId="2E6A5791" w:rsidR="00FD1845" w:rsidRPr="0025638B" w:rsidRDefault="00FD1845" w:rsidP="0025638B">
      <w:pPr>
        <w:spacing w:after="0" w:line="240" w:lineRule="auto"/>
        <w:jc w:val="center"/>
        <w:outlineLvl w:val="0"/>
        <w:rPr>
          <w:rFonts w:ascii="Times New Roman" w:hAnsi="Times New Roman"/>
          <w:b/>
          <w:bCs/>
          <w:sz w:val="28"/>
          <w:szCs w:val="28"/>
          <w:lang w:val="ro-RO"/>
        </w:rPr>
      </w:pPr>
      <w:r>
        <w:rPr>
          <w:rFonts w:ascii="Times New Roman" w:hAnsi="Times New Roman"/>
          <w:b/>
          <w:sz w:val="28"/>
          <w:szCs w:val="28"/>
          <w:lang w:val="ro-RO"/>
        </w:rPr>
        <w:t>DECIZIA nr.</w:t>
      </w:r>
      <w:r>
        <w:rPr>
          <w:rFonts w:ascii="Times New Roman" w:hAnsi="Times New Roman"/>
          <w:sz w:val="24"/>
          <w:szCs w:val="24"/>
          <w:lang w:val="ro-RO"/>
        </w:rPr>
        <w:t xml:space="preserve"> </w:t>
      </w:r>
      <w:r w:rsidR="0025638B" w:rsidRPr="0025638B">
        <w:rPr>
          <w:rFonts w:ascii="Times New Roman" w:hAnsi="Times New Roman"/>
          <w:b/>
          <w:bCs/>
          <w:sz w:val="28"/>
          <w:szCs w:val="28"/>
          <w:lang w:val="ro-RO"/>
        </w:rPr>
        <w:t>124</w:t>
      </w:r>
    </w:p>
    <w:p w14:paraId="329DF75B" w14:textId="23FD6619" w:rsidR="00FD1845" w:rsidRDefault="00FD1845" w:rsidP="0025638B">
      <w:pPr>
        <w:spacing w:after="0" w:line="240" w:lineRule="auto"/>
        <w:jc w:val="center"/>
        <w:rPr>
          <w:rFonts w:ascii="Times New Roman" w:hAnsi="Times New Roman"/>
          <w:sz w:val="24"/>
          <w:szCs w:val="24"/>
          <w:lang w:val="ro-RO"/>
        </w:rPr>
      </w:pPr>
      <w:r>
        <w:rPr>
          <w:rFonts w:ascii="Times New Roman" w:hAnsi="Times New Roman"/>
          <w:sz w:val="24"/>
          <w:szCs w:val="24"/>
          <w:lang w:val="ro-RO"/>
        </w:rPr>
        <w:t xml:space="preserve">din </w:t>
      </w:r>
      <w:r w:rsidR="0025638B">
        <w:rPr>
          <w:rFonts w:ascii="Times New Roman" w:hAnsi="Times New Roman"/>
          <w:sz w:val="24"/>
          <w:szCs w:val="24"/>
          <w:lang w:val="ro-RO"/>
        </w:rPr>
        <w:t>26</w:t>
      </w:r>
      <w:r>
        <w:rPr>
          <w:rFonts w:ascii="Times New Roman" w:hAnsi="Times New Roman"/>
          <w:sz w:val="24"/>
          <w:szCs w:val="24"/>
          <w:lang w:val="ro-RO"/>
        </w:rPr>
        <w:t xml:space="preserve"> aprilie 2024</w:t>
      </w:r>
    </w:p>
    <w:p w14:paraId="477D1465" w14:textId="77777777" w:rsidR="00FD1845" w:rsidRPr="00FD1845" w:rsidRDefault="00FD1845" w:rsidP="0025638B">
      <w:pPr>
        <w:spacing w:after="0" w:line="240" w:lineRule="auto"/>
        <w:jc w:val="center"/>
        <w:rPr>
          <w:rFonts w:ascii="Times New Roman" w:hAnsi="Times New Roman"/>
          <w:sz w:val="24"/>
          <w:szCs w:val="24"/>
          <w:lang w:val="ro-RO"/>
        </w:rPr>
      </w:pPr>
    </w:p>
    <w:p w14:paraId="4257B589" w14:textId="77777777" w:rsidR="00FD1845" w:rsidRPr="009C2138" w:rsidRDefault="00FD1845" w:rsidP="0025638B">
      <w:pPr>
        <w:spacing w:after="0" w:line="240" w:lineRule="auto"/>
        <w:jc w:val="both"/>
        <w:rPr>
          <w:rFonts w:ascii="Times New Roman" w:hAnsi="Times New Roman" w:cs="Times New Roman"/>
          <w:color w:val="000000" w:themeColor="text1"/>
          <w:sz w:val="24"/>
          <w:szCs w:val="24"/>
        </w:rPr>
      </w:pPr>
      <w:r>
        <w:rPr>
          <w:rFonts w:ascii="Times New Roman" w:hAnsi="Times New Roman"/>
          <w:b/>
          <w:sz w:val="24"/>
          <w:szCs w:val="24"/>
          <w:lang w:val="ro-RO"/>
        </w:rPr>
        <w:t xml:space="preserve">Cu privire la inițierea consultărilor publice asupra Metodologiei </w:t>
      </w:r>
      <w:r w:rsidRPr="009C2138">
        <w:rPr>
          <w:rFonts w:ascii="Times New Roman" w:hAnsi="Times New Roman" w:cs="Times New Roman"/>
          <w:b/>
          <w:color w:val="000000" w:themeColor="text1"/>
          <w:sz w:val="24"/>
          <w:szCs w:val="24"/>
        </w:rPr>
        <w:t xml:space="preserve">de monitorizare a conținuturilor audiovizuale cu caracter electoral </w:t>
      </w:r>
    </w:p>
    <w:p w14:paraId="0DBF0530" w14:textId="39DC0ED4" w:rsidR="00FD1845" w:rsidRPr="00FD1845" w:rsidRDefault="00FD1845" w:rsidP="0025638B">
      <w:pPr>
        <w:pStyle w:val="Listparagraf"/>
        <w:tabs>
          <w:tab w:val="left" w:pos="284"/>
        </w:tabs>
        <w:spacing w:after="0" w:line="240" w:lineRule="auto"/>
        <w:ind w:left="0"/>
        <w:jc w:val="both"/>
        <w:rPr>
          <w:rFonts w:ascii="Times New Roman" w:hAnsi="Times New Roman"/>
          <w:b/>
          <w:sz w:val="24"/>
          <w:szCs w:val="24"/>
        </w:rPr>
      </w:pPr>
    </w:p>
    <w:p w14:paraId="3DC46CD8" w14:textId="793E72D7" w:rsidR="007104D5" w:rsidRDefault="00FD1845" w:rsidP="0025638B">
      <w:pPr>
        <w:spacing w:after="0" w:line="240" w:lineRule="auto"/>
        <w:jc w:val="both"/>
        <w:rPr>
          <w:rFonts w:ascii="Times New Roman" w:eastAsia="Times New Roman" w:hAnsi="Times New Roman"/>
          <w:sz w:val="24"/>
          <w:szCs w:val="24"/>
          <w:lang w:val="ro-RO"/>
        </w:rPr>
      </w:pPr>
      <w:r>
        <w:rPr>
          <w:rFonts w:ascii="Times New Roman" w:eastAsia="Times New Roman" w:hAnsi="Times New Roman"/>
          <w:bCs/>
          <w:sz w:val="24"/>
          <w:szCs w:val="24"/>
          <w:lang w:val="ro-RO"/>
        </w:rPr>
        <w:t>În conformitate cu prevederile art. 75 alin. (3) lit. h) din Codul serviciilor media audiovizuale al Republicii Moldova nr. 174/2018, Consiliul Audiovizualului</w:t>
      </w:r>
      <w:r w:rsidR="0025638B">
        <w:rPr>
          <w:rFonts w:ascii="Times New Roman" w:eastAsia="Times New Roman" w:hAnsi="Times New Roman"/>
          <w:bCs/>
          <w:sz w:val="24"/>
          <w:szCs w:val="24"/>
          <w:lang w:val="ro-RO"/>
        </w:rPr>
        <w:t xml:space="preserve"> (în continuare – </w:t>
      </w:r>
      <w:r w:rsidR="0025638B" w:rsidRPr="0025638B">
        <w:rPr>
          <w:rFonts w:ascii="Times New Roman" w:eastAsia="Times New Roman" w:hAnsi="Times New Roman"/>
          <w:bCs/>
          <w:i/>
          <w:iCs/>
          <w:sz w:val="24"/>
          <w:szCs w:val="24"/>
          <w:lang w:val="ro-RO"/>
        </w:rPr>
        <w:t>CA</w:t>
      </w:r>
      <w:r w:rsidR="0025638B">
        <w:rPr>
          <w:rFonts w:ascii="Times New Roman" w:eastAsia="Times New Roman" w:hAnsi="Times New Roman"/>
          <w:bCs/>
          <w:sz w:val="24"/>
          <w:szCs w:val="24"/>
          <w:lang w:val="ro-RO"/>
        </w:rPr>
        <w:t>)</w:t>
      </w:r>
      <w:r>
        <w:rPr>
          <w:rFonts w:ascii="Times New Roman" w:eastAsia="Times New Roman" w:hAnsi="Times New Roman"/>
          <w:bCs/>
          <w:sz w:val="24"/>
          <w:szCs w:val="24"/>
          <w:lang w:val="ro-RO"/>
        </w:rPr>
        <w:t xml:space="preserve"> elaborează, aprobă și supraveghează punerea în aplicare a metodologiilor de monitorizare a conținuturilor serviciilor media audiovizuale liniare </w:t>
      </w:r>
      <w:proofErr w:type="spellStart"/>
      <w:r>
        <w:rPr>
          <w:rFonts w:ascii="Times New Roman" w:eastAsia="Times New Roman" w:hAnsi="Times New Roman"/>
          <w:bCs/>
          <w:sz w:val="24"/>
          <w:szCs w:val="24"/>
          <w:lang w:val="ro-RO"/>
        </w:rPr>
        <w:t>şi</w:t>
      </w:r>
      <w:proofErr w:type="spellEnd"/>
      <w:r>
        <w:rPr>
          <w:rFonts w:ascii="Times New Roman" w:eastAsia="Times New Roman" w:hAnsi="Times New Roman"/>
          <w:bCs/>
          <w:sz w:val="24"/>
          <w:szCs w:val="24"/>
          <w:lang w:val="ro-RO"/>
        </w:rPr>
        <w:t xml:space="preserve"> neliniare, precum </w:t>
      </w:r>
      <w:proofErr w:type="spellStart"/>
      <w:r>
        <w:rPr>
          <w:rFonts w:ascii="Times New Roman" w:eastAsia="Times New Roman" w:hAnsi="Times New Roman"/>
          <w:bCs/>
          <w:sz w:val="24"/>
          <w:szCs w:val="24"/>
          <w:lang w:val="ro-RO"/>
        </w:rPr>
        <w:t>şi</w:t>
      </w:r>
      <w:proofErr w:type="spellEnd"/>
      <w:r>
        <w:rPr>
          <w:rFonts w:ascii="Times New Roman" w:eastAsia="Times New Roman" w:hAnsi="Times New Roman"/>
          <w:bCs/>
          <w:sz w:val="24"/>
          <w:szCs w:val="24"/>
          <w:lang w:val="ro-RO"/>
        </w:rPr>
        <w:t xml:space="preserve"> ale serviciilor de platformă de partajare a materialelor video.</w:t>
      </w:r>
    </w:p>
    <w:p w14:paraId="71C5657D" w14:textId="25033277" w:rsidR="00FD1845" w:rsidRPr="00353C2C" w:rsidRDefault="007104D5" w:rsidP="0025638B">
      <w:pPr>
        <w:spacing w:after="0" w:line="240" w:lineRule="auto"/>
        <w:jc w:val="both"/>
        <w:rPr>
          <w:rFonts w:ascii="Times New Roman" w:eastAsia="Times New Roman" w:hAnsi="Times New Roman"/>
          <w:bCs/>
          <w:sz w:val="24"/>
          <w:szCs w:val="24"/>
          <w:lang w:val="ro-RO"/>
        </w:rPr>
      </w:pPr>
      <w:r>
        <w:rPr>
          <w:rFonts w:ascii="Times New Roman" w:eastAsia="Times New Roman" w:hAnsi="Times New Roman"/>
          <w:sz w:val="24"/>
          <w:szCs w:val="24"/>
          <w:lang w:val="ro-RO"/>
        </w:rPr>
        <w:t>Prin Decizia nr. 111 din 19.04.</w:t>
      </w:r>
      <w:r w:rsidRPr="007104D5">
        <w:rPr>
          <w:rFonts w:ascii="Times New Roman" w:eastAsia="Times New Roman" w:hAnsi="Times New Roman"/>
          <w:bCs/>
          <w:sz w:val="24"/>
          <w:szCs w:val="24"/>
          <w:lang w:val="ro-RO"/>
        </w:rPr>
        <w:t>2024</w:t>
      </w:r>
      <w:r w:rsidR="0025638B">
        <w:rPr>
          <w:rFonts w:ascii="Times New Roman" w:eastAsia="Times New Roman" w:hAnsi="Times New Roman"/>
          <w:bCs/>
          <w:sz w:val="24"/>
          <w:szCs w:val="24"/>
          <w:lang w:val="ro-RO"/>
        </w:rPr>
        <w:t>,</w:t>
      </w:r>
      <w:r w:rsidRPr="007104D5">
        <w:rPr>
          <w:rFonts w:ascii="Times New Roman" w:eastAsia="Times New Roman" w:hAnsi="Times New Roman"/>
          <w:bCs/>
          <w:sz w:val="24"/>
          <w:szCs w:val="24"/>
          <w:lang w:val="ro-RO"/>
        </w:rPr>
        <w:t xml:space="preserve"> </w:t>
      </w:r>
      <w:r>
        <w:rPr>
          <w:rFonts w:ascii="Times New Roman" w:eastAsia="Times New Roman" w:hAnsi="Times New Roman"/>
          <w:bCs/>
          <w:sz w:val="24"/>
          <w:szCs w:val="24"/>
          <w:lang w:val="ro-RO"/>
        </w:rPr>
        <w:t xml:space="preserve">CA a </w:t>
      </w:r>
      <w:r w:rsidRPr="007104D5">
        <w:rPr>
          <w:rFonts w:ascii="Times New Roman" w:eastAsia="Times New Roman" w:hAnsi="Times New Roman"/>
          <w:bCs/>
          <w:sz w:val="24"/>
          <w:szCs w:val="24"/>
          <w:lang w:val="ro-RO"/>
        </w:rPr>
        <w:t>iniția</w:t>
      </w:r>
      <w:r>
        <w:rPr>
          <w:rFonts w:ascii="Times New Roman" w:eastAsia="Times New Roman" w:hAnsi="Times New Roman"/>
          <w:bCs/>
          <w:sz w:val="24"/>
          <w:szCs w:val="24"/>
          <w:lang w:val="ro-RO"/>
        </w:rPr>
        <w:t>t</w:t>
      </w:r>
      <w:r w:rsidRPr="007104D5">
        <w:rPr>
          <w:rFonts w:ascii="Times New Roman" w:eastAsia="Times New Roman" w:hAnsi="Times New Roman"/>
          <w:bCs/>
          <w:sz w:val="24"/>
          <w:szCs w:val="24"/>
          <w:lang w:val="ro-RO"/>
        </w:rPr>
        <w:t xml:space="preserve"> elaborarea proiectului de modificare a Metodologiei de monitorizare a radiodifuzorilor aflați sub jurisdicția Republicii Moldova, aprobată prin Decizia </w:t>
      </w:r>
      <w:bookmarkStart w:id="0" w:name="_Hlk158635902"/>
      <w:r w:rsidRPr="007104D5">
        <w:rPr>
          <w:rFonts w:ascii="Times New Roman" w:eastAsia="Times New Roman" w:hAnsi="Times New Roman"/>
          <w:bCs/>
          <w:sz w:val="24"/>
          <w:szCs w:val="24"/>
          <w:lang w:val="ro-RO"/>
        </w:rPr>
        <w:t>C</w:t>
      </w:r>
      <w:r w:rsidR="0025638B">
        <w:rPr>
          <w:rFonts w:ascii="Times New Roman" w:eastAsia="Times New Roman" w:hAnsi="Times New Roman"/>
          <w:bCs/>
          <w:sz w:val="24"/>
          <w:szCs w:val="24"/>
          <w:lang w:val="ro-RO"/>
        </w:rPr>
        <w:t>A</w:t>
      </w:r>
      <w:bookmarkEnd w:id="0"/>
      <w:r w:rsidRPr="007104D5">
        <w:rPr>
          <w:rFonts w:ascii="Times New Roman" w:eastAsia="Times New Roman" w:hAnsi="Times New Roman"/>
          <w:bCs/>
          <w:sz w:val="24"/>
          <w:szCs w:val="24"/>
          <w:lang w:val="ro-RO"/>
        </w:rPr>
        <w:t xml:space="preserve"> nr. 29/180 din 09</w:t>
      </w:r>
      <w:r w:rsidR="0025638B">
        <w:rPr>
          <w:rFonts w:ascii="Times New Roman" w:eastAsia="Times New Roman" w:hAnsi="Times New Roman"/>
          <w:bCs/>
          <w:sz w:val="24"/>
          <w:szCs w:val="24"/>
          <w:lang w:val="ro-RO"/>
        </w:rPr>
        <w:t>.11.</w:t>
      </w:r>
      <w:r w:rsidRPr="007104D5">
        <w:rPr>
          <w:rFonts w:ascii="Times New Roman" w:eastAsia="Times New Roman" w:hAnsi="Times New Roman"/>
          <w:bCs/>
          <w:sz w:val="24"/>
          <w:szCs w:val="24"/>
          <w:lang w:val="ro-RO"/>
        </w:rPr>
        <w:t>2018.</w:t>
      </w:r>
    </w:p>
    <w:p w14:paraId="294BED95" w14:textId="6E265AD6" w:rsidR="007104D5" w:rsidRPr="00353C2C" w:rsidRDefault="00353C2C" w:rsidP="0025638B">
      <w:pPr>
        <w:spacing w:after="0" w:line="240" w:lineRule="auto"/>
        <w:jc w:val="both"/>
        <w:rPr>
          <w:rFonts w:ascii="Times New Roman" w:eastAsia="Times New Roman" w:hAnsi="Times New Roman"/>
          <w:bCs/>
          <w:sz w:val="24"/>
          <w:szCs w:val="24"/>
          <w:lang w:val="ro-RO"/>
        </w:rPr>
      </w:pPr>
      <w:r w:rsidRPr="00353C2C">
        <w:rPr>
          <w:rFonts w:ascii="Times New Roman" w:eastAsia="Times New Roman" w:hAnsi="Times New Roman"/>
          <w:bCs/>
          <w:sz w:val="24"/>
          <w:szCs w:val="24"/>
          <w:lang w:val="ro-RO"/>
        </w:rPr>
        <w:t>În</w:t>
      </w:r>
      <w:r w:rsidR="007104D5" w:rsidRPr="00353C2C">
        <w:rPr>
          <w:rFonts w:ascii="Times New Roman" w:eastAsia="Times New Roman" w:hAnsi="Times New Roman"/>
          <w:bCs/>
          <w:sz w:val="24"/>
          <w:szCs w:val="24"/>
          <w:lang w:val="ro-RO"/>
        </w:rPr>
        <w:t xml:space="preserve"> procesul de revizuire s-a atestat că Metodologia menționată supra urmează să fie modificată semnificativ</w:t>
      </w:r>
      <w:r w:rsidRPr="00353C2C">
        <w:rPr>
          <w:rFonts w:ascii="Times New Roman" w:eastAsia="Times New Roman" w:hAnsi="Times New Roman"/>
          <w:bCs/>
          <w:sz w:val="24"/>
          <w:szCs w:val="24"/>
          <w:lang w:val="ro-RO"/>
        </w:rPr>
        <w:t xml:space="preserve">. Astfel, </w:t>
      </w:r>
      <w:r w:rsidR="007104D5" w:rsidRPr="00353C2C">
        <w:rPr>
          <w:rFonts w:ascii="Times New Roman" w:eastAsia="Times New Roman" w:hAnsi="Times New Roman"/>
          <w:bCs/>
          <w:sz w:val="24"/>
          <w:szCs w:val="24"/>
          <w:lang w:val="ro-RO"/>
        </w:rPr>
        <w:t>este oportun</w:t>
      </w:r>
      <w:r w:rsidR="0025638B">
        <w:rPr>
          <w:rFonts w:ascii="Times New Roman" w:eastAsia="Times New Roman" w:hAnsi="Times New Roman"/>
          <w:bCs/>
          <w:sz w:val="24"/>
          <w:szCs w:val="24"/>
          <w:lang w:val="ro-RO"/>
        </w:rPr>
        <w:t>ă</w:t>
      </w:r>
      <w:r w:rsidR="007104D5" w:rsidRPr="00353C2C">
        <w:rPr>
          <w:rFonts w:ascii="Times New Roman" w:eastAsia="Times New Roman" w:hAnsi="Times New Roman"/>
          <w:bCs/>
          <w:sz w:val="24"/>
          <w:szCs w:val="24"/>
          <w:lang w:val="ro-RO"/>
        </w:rPr>
        <w:t xml:space="preserve"> aprobarea unei noi metodologii</w:t>
      </w:r>
      <w:r w:rsidR="0025638B">
        <w:rPr>
          <w:rFonts w:ascii="Times New Roman" w:eastAsia="Times New Roman" w:hAnsi="Times New Roman"/>
          <w:bCs/>
          <w:sz w:val="24"/>
          <w:szCs w:val="24"/>
          <w:lang w:val="ro-RO"/>
        </w:rPr>
        <w:t xml:space="preserve"> și abrogarea</w:t>
      </w:r>
      <w:r w:rsidR="007104D5" w:rsidRPr="00353C2C">
        <w:rPr>
          <w:rFonts w:ascii="Times New Roman" w:eastAsia="Times New Roman" w:hAnsi="Times New Roman"/>
          <w:bCs/>
          <w:sz w:val="24"/>
          <w:szCs w:val="24"/>
          <w:lang w:val="ro-RO"/>
        </w:rPr>
        <w:t xml:space="preserve"> Decizi</w:t>
      </w:r>
      <w:r w:rsidR="0025638B">
        <w:rPr>
          <w:rFonts w:ascii="Times New Roman" w:eastAsia="Times New Roman" w:hAnsi="Times New Roman"/>
          <w:bCs/>
          <w:sz w:val="24"/>
          <w:szCs w:val="24"/>
          <w:lang w:val="ro-RO"/>
        </w:rPr>
        <w:t>ei</w:t>
      </w:r>
      <w:r w:rsidR="007104D5" w:rsidRPr="00353C2C">
        <w:rPr>
          <w:rFonts w:ascii="Times New Roman" w:eastAsia="Times New Roman" w:hAnsi="Times New Roman"/>
          <w:bCs/>
          <w:sz w:val="24"/>
          <w:szCs w:val="24"/>
          <w:lang w:val="ro-RO"/>
        </w:rPr>
        <w:t xml:space="preserve"> </w:t>
      </w:r>
      <w:r w:rsidR="007104D5" w:rsidRPr="007104D5">
        <w:rPr>
          <w:rFonts w:ascii="Times New Roman" w:eastAsia="Times New Roman" w:hAnsi="Times New Roman"/>
          <w:bCs/>
          <w:sz w:val="24"/>
          <w:szCs w:val="24"/>
          <w:lang w:val="ro-RO"/>
        </w:rPr>
        <w:t>C</w:t>
      </w:r>
      <w:r w:rsidR="0025638B">
        <w:rPr>
          <w:rFonts w:ascii="Times New Roman" w:eastAsia="Times New Roman" w:hAnsi="Times New Roman"/>
          <w:bCs/>
          <w:sz w:val="24"/>
          <w:szCs w:val="24"/>
          <w:lang w:val="ro-RO"/>
        </w:rPr>
        <w:t xml:space="preserve">A </w:t>
      </w:r>
      <w:r w:rsidR="007104D5" w:rsidRPr="007104D5">
        <w:rPr>
          <w:rFonts w:ascii="Times New Roman" w:eastAsia="Times New Roman" w:hAnsi="Times New Roman"/>
          <w:bCs/>
          <w:sz w:val="24"/>
          <w:szCs w:val="24"/>
          <w:lang w:val="ro-RO"/>
        </w:rPr>
        <w:t>nr.</w:t>
      </w:r>
      <w:r w:rsidR="0025638B">
        <w:rPr>
          <w:rFonts w:ascii="Times New Roman" w:eastAsia="Times New Roman" w:hAnsi="Times New Roman"/>
          <w:bCs/>
          <w:sz w:val="24"/>
          <w:szCs w:val="24"/>
          <w:lang w:val="ro-RO"/>
        </w:rPr>
        <w:t> </w:t>
      </w:r>
      <w:r w:rsidR="007104D5" w:rsidRPr="007104D5">
        <w:rPr>
          <w:rFonts w:ascii="Times New Roman" w:eastAsia="Times New Roman" w:hAnsi="Times New Roman"/>
          <w:bCs/>
          <w:sz w:val="24"/>
          <w:szCs w:val="24"/>
          <w:lang w:val="ro-RO"/>
        </w:rPr>
        <w:t>29/180 din 09</w:t>
      </w:r>
      <w:r w:rsidR="0025638B">
        <w:rPr>
          <w:rFonts w:ascii="Times New Roman" w:eastAsia="Times New Roman" w:hAnsi="Times New Roman"/>
          <w:bCs/>
          <w:sz w:val="24"/>
          <w:szCs w:val="24"/>
          <w:lang w:val="ro-RO"/>
        </w:rPr>
        <w:t>.11.</w:t>
      </w:r>
      <w:r w:rsidR="007104D5" w:rsidRPr="007104D5">
        <w:rPr>
          <w:rFonts w:ascii="Times New Roman" w:eastAsia="Times New Roman" w:hAnsi="Times New Roman"/>
          <w:bCs/>
          <w:sz w:val="24"/>
          <w:szCs w:val="24"/>
          <w:lang w:val="ro-RO"/>
        </w:rPr>
        <w:t>2018</w:t>
      </w:r>
      <w:r w:rsidR="007104D5">
        <w:rPr>
          <w:rFonts w:ascii="Times New Roman" w:eastAsia="Times New Roman" w:hAnsi="Times New Roman"/>
          <w:bCs/>
          <w:sz w:val="24"/>
          <w:szCs w:val="24"/>
          <w:lang w:val="ro-RO"/>
        </w:rPr>
        <w:t>.</w:t>
      </w:r>
    </w:p>
    <w:p w14:paraId="176D41D3" w14:textId="77777777" w:rsidR="007104D5" w:rsidRDefault="007104D5" w:rsidP="0025638B">
      <w:pPr>
        <w:spacing w:after="0" w:line="240" w:lineRule="auto"/>
        <w:jc w:val="both"/>
        <w:rPr>
          <w:rFonts w:ascii="Times New Roman" w:hAnsi="Times New Roman"/>
          <w:sz w:val="24"/>
          <w:szCs w:val="24"/>
          <w:lang w:val="ro-RO"/>
        </w:rPr>
      </w:pPr>
    </w:p>
    <w:p w14:paraId="3CD35922" w14:textId="1B99C433" w:rsidR="00FD1845" w:rsidRDefault="00FD1845" w:rsidP="0025638B">
      <w:pPr>
        <w:autoSpaceDE w:val="0"/>
        <w:autoSpaceDN w:val="0"/>
        <w:adjustRightInd w:val="0"/>
        <w:spacing w:after="0" w:line="240" w:lineRule="auto"/>
        <w:jc w:val="both"/>
        <w:rPr>
          <w:rFonts w:ascii="Times New Roman" w:eastAsia="Calibri" w:hAnsi="Times New Roman"/>
          <w:color w:val="000000"/>
          <w:sz w:val="24"/>
          <w:szCs w:val="24"/>
          <w:lang w:val="ro-RO"/>
        </w:rPr>
      </w:pPr>
      <w:r>
        <w:rPr>
          <w:rFonts w:ascii="Times New Roman" w:hAnsi="Times New Roman"/>
          <w:sz w:val="24"/>
          <w:szCs w:val="24"/>
          <w:lang w:val="ro-RO"/>
        </w:rPr>
        <w:t>În temeiul prevederilor art. 73-75 din Codul serviciilor media audiovizuale al Republicii Moldova nr.</w:t>
      </w:r>
      <w:r w:rsidR="0025638B">
        <w:rPr>
          <w:rFonts w:ascii="Times New Roman" w:hAnsi="Times New Roman"/>
          <w:sz w:val="24"/>
          <w:szCs w:val="24"/>
          <w:lang w:val="ro-RO"/>
        </w:rPr>
        <w:t> </w:t>
      </w:r>
      <w:r>
        <w:rPr>
          <w:rFonts w:ascii="Times New Roman" w:hAnsi="Times New Roman"/>
          <w:sz w:val="24"/>
          <w:szCs w:val="24"/>
          <w:lang w:val="ro-RO"/>
        </w:rPr>
        <w:t xml:space="preserve">174/2018 și ale </w:t>
      </w:r>
      <w:r>
        <w:rPr>
          <w:rFonts w:ascii="Times New Roman" w:hAnsi="Times New Roman"/>
          <w:bCs/>
          <w:sz w:val="24"/>
          <w:szCs w:val="24"/>
          <w:lang w:val="ro-RO"/>
        </w:rPr>
        <w:t>art. 11 din Legea nr. 239/2008 privind transparența în procesul decizional</w:t>
      </w:r>
      <w:r>
        <w:rPr>
          <w:rFonts w:ascii="Times New Roman" w:hAnsi="Times New Roman"/>
          <w:sz w:val="24"/>
          <w:szCs w:val="24"/>
          <w:lang w:val="ro-RO"/>
        </w:rPr>
        <w:t>,</w:t>
      </w:r>
    </w:p>
    <w:p w14:paraId="130F3669" w14:textId="77777777" w:rsidR="00FD1845" w:rsidRDefault="00FD1845" w:rsidP="0025638B">
      <w:pPr>
        <w:spacing w:after="0" w:line="240" w:lineRule="auto"/>
        <w:jc w:val="both"/>
        <w:rPr>
          <w:rFonts w:ascii="Times New Roman" w:eastAsia="Times New Roman" w:hAnsi="Times New Roman"/>
          <w:bCs/>
          <w:sz w:val="24"/>
          <w:szCs w:val="24"/>
          <w:lang w:val="ro-RO"/>
        </w:rPr>
      </w:pPr>
    </w:p>
    <w:p w14:paraId="49A71171" w14:textId="77777777" w:rsidR="00FD1845" w:rsidRDefault="00FD1845" w:rsidP="0025638B">
      <w:pPr>
        <w:spacing w:after="0" w:line="240" w:lineRule="auto"/>
        <w:jc w:val="center"/>
        <w:rPr>
          <w:rFonts w:ascii="Times New Roman" w:eastAsia="Calibri" w:hAnsi="Times New Roman"/>
          <w:b/>
          <w:sz w:val="24"/>
          <w:szCs w:val="24"/>
          <w:lang w:val="ro-RO"/>
        </w:rPr>
      </w:pPr>
      <w:r>
        <w:rPr>
          <w:rFonts w:ascii="Times New Roman" w:hAnsi="Times New Roman"/>
          <w:b/>
          <w:sz w:val="24"/>
          <w:szCs w:val="24"/>
          <w:lang w:val="ro-RO"/>
        </w:rPr>
        <w:t>Consiliul Audiovizualului al Republicii Moldova</w:t>
      </w:r>
      <w:r>
        <w:rPr>
          <w:rFonts w:ascii="Times New Roman" w:hAnsi="Times New Roman"/>
          <w:sz w:val="24"/>
          <w:szCs w:val="24"/>
          <w:lang w:val="ro-RO"/>
        </w:rPr>
        <w:t xml:space="preserve"> </w:t>
      </w:r>
      <w:r>
        <w:rPr>
          <w:rFonts w:ascii="Times New Roman" w:hAnsi="Times New Roman"/>
          <w:b/>
          <w:sz w:val="24"/>
          <w:szCs w:val="24"/>
          <w:lang w:val="ro-RO"/>
        </w:rPr>
        <w:t>DECIDE:</w:t>
      </w:r>
    </w:p>
    <w:p w14:paraId="2954F7D7" w14:textId="77777777" w:rsidR="00FD1845" w:rsidRDefault="00FD1845" w:rsidP="0025638B">
      <w:pPr>
        <w:spacing w:after="0" w:line="240" w:lineRule="auto"/>
        <w:jc w:val="center"/>
        <w:rPr>
          <w:rFonts w:ascii="Times New Roman" w:hAnsi="Times New Roman"/>
          <w:sz w:val="24"/>
          <w:szCs w:val="24"/>
          <w:lang w:val="ro-RO"/>
        </w:rPr>
      </w:pPr>
    </w:p>
    <w:p w14:paraId="3BB4BA23" w14:textId="0B8FA2E8" w:rsidR="00FD1845" w:rsidRPr="00E06C7A" w:rsidRDefault="00FD1845" w:rsidP="0025638B">
      <w:pPr>
        <w:spacing w:after="0" w:line="240" w:lineRule="auto"/>
        <w:jc w:val="both"/>
        <w:rPr>
          <w:rFonts w:ascii="Times New Roman" w:hAnsi="Times New Roman" w:cs="Times New Roman"/>
          <w:color w:val="000000" w:themeColor="text1"/>
          <w:sz w:val="24"/>
          <w:szCs w:val="24"/>
        </w:rPr>
      </w:pPr>
      <w:r>
        <w:rPr>
          <w:rFonts w:ascii="Times New Roman" w:hAnsi="Times New Roman"/>
          <w:sz w:val="24"/>
          <w:szCs w:val="24"/>
          <w:lang w:val="ro-RO"/>
        </w:rPr>
        <w:t xml:space="preserve">1. În vederea asigurării transparenței în procesul decizional, proiectul </w:t>
      </w:r>
      <w:r>
        <w:rPr>
          <w:rFonts w:ascii="Times New Roman" w:hAnsi="Times New Roman"/>
          <w:bCs/>
          <w:sz w:val="24"/>
          <w:szCs w:val="24"/>
          <w:lang w:val="ro-RO"/>
        </w:rPr>
        <w:t xml:space="preserve">Metodologiei </w:t>
      </w:r>
      <w:r w:rsidR="00E06C7A" w:rsidRPr="00E06C7A">
        <w:rPr>
          <w:rFonts w:ascii="Times New Roman" w:hAnsi="Times New Roman" w:cs="Times New Roman"/>
          <w:bCs/>
          <w:color w:val="000000" w:themeColor="text1"/>
          <w:sz w:val="24"/>
          <w:szCs w:val="24"/>
        </w:rPr>
        <w:t>de monitorizare a conținuturilor audiovizuale cu caracter electoral</w:t>
      </w:r>
      <w:r w:rsidR="00E06C7A" w:rsidRPr="009C2138">
        <w:rPr>
          <w:rFonts w:ascii="Times New Roman" w:hAnsi="Times New Roman" w:cs="Times New Roman"/>
          <w:b/>
          <w:color w:val="000000" w:themeColor="text1"/>
          <w:sz w:val="24"/>
          <w:szCs w:val="24"/>
        </w:rPr>
        <w:t xml:space="preserve"> </w:t>
      </w:r>
      <w:r>
        <w:rPr>
          <w:rFonts w:ascii="Times New Roman" w:hAnsi="Times New Roman"/>
          <w:sz w:val="24"/>
          <w:szCs w:val="24"/>
          <w:lang w:val="ro-RO"/>
        </w:rPr>
        <w:t>(</w:t>
      </w:r>
      <w:r>
        <w:rPr>
          <w:rFonts w:ascii="Times New Roman" w:hAnsi="Times New Roman"/>
          <w:iCs/>
          <w:sz w:val="24"/>
          <w:szCs w:val="24"/>
          <w:lang w:val="ro-RO"/>
        </w:rPr>
        <w:t>se anexează</w:t>
      </w:r>
      <w:r>
        <w:rPr>
          <w:rFonts w:ascii="Times New Roman" w:hAnsi="Times New Roman"/>
          <w:sz w:val="24"/>
          <w:szCs w:val="24"/>
          <w:lang w:val="ro-RO"/>
        </w:rPr>
        <w:t xml:space="preserve">) se supune consultărilor publice. Termenul limită de prezentare a propunerilor asupra proiectului este de </w:t>
      </w:r>
      <w:r w:rsidR="0025638B">
        <w:rPr>
          <w:rFonts w:ascii="Times New Roman" w:hAnsi="Times New Roman"/>
          <w:sz w:val="24"/>
          <w:szCs w:val="24"/>
          <w:lang w:val="ro-RO"/>
        </w:rPr>
        <w:t xml:space="preserve">27 mai </w:t>
      </w:r>
      <w:r w:rsidR="00E06C7A">
        <w:rPr>
          <w:rFonts w:ascii="Times New Roman" w:hAnsi="Times New Roman"/>
          <w:sz w:val="24"/>
          <w:szCs w:val="24"/>
          <w:lang w:val="ro-RO"/>
        </w:rPr>
        <w:t>2024</w:t>
      </w:r>
      <w:r>
        <w:rPr>
          <w:rFonts w:ascii="Times New Roman" w:hAnsi="Times New Roman"/>
          <w:sz w:val="24"/>
          <w:szCs w:val="24"/>
          <w:lang w:val="ro-RO"/>
        </w:rPr>
        <w:t>.</w:t>
      </w:r>
    </w:p>
    <w:p w14:paraId="1F55B20D" w14:textId="77777777" w:rsidR="00FD1845" w:rsidRDefault="00FD1845" w:rsidP="0025638B">
      <w:pPr>
        <w:spacing w:after="0" w:line="240" w:lineRule="auto"/>
        <w:jc w:val="both"/>
        <w:rPr>
          <w:rFonts w:ascii="Times New Roman" w:hAnsi="Times New Roman"/>
          <w:b/>
          <w:sz w:val="24"/>
          <w:szCs w:val="24"/>
          <w:lang w:val="ro-RO"/>
        </w:rPr>
      </w:pPr>
      <w:r>
        <w:rPr>
          <w:rFonts w:ascii="Times New Roman" w:hAnsi="Times New Roman"/>
          <w:bCs/>
          <w:sz w:val="24"/>
          <w:szCs w:val="24"/>
          <w:lang w:val="ro-RO"/>
        </w:rPr>
        <w:t>2.</w:t>
      </w:r>
      <w:r>
        <w:rPr>
          <w:rFonts w:ascii="Times New Roman" w:hAnsi="Times New Roman"/>
          <w:b/>
          <w:sz w:val="24"/>
          <w:szCs w:val="24"/>
          <w:lang w:val="ro-RO"/>
        </w:rPr>
        <w:t xml:space="preserve"> </w:t>
      </w:r>
      <w:r>
        <w:rPr>
          <w:rFonts w:ascii="Times New Roman" w:hAnsi="Times New Roman"/>
          <w:sz w:val="24"/>
          <w:szCs w:val="24"/>
          <w:lang w:val="ro-RO"/>
        </w:rPr>
        <w:t>Controlul asupra executării prezentei decizii se pune în sarcina Secției juridice și Direcției control servicii media audiovizuale.</w:t>
      </w:r>
    </w:p>
    <w:p w14:paraId="359C4E53" w14:textId="7448CE1D" w:rsidR="00FD1845" w:rsidRDefault="00FD1845" w:rsidP="0025638B">
      <w:pPr>
        <w:spacing w:after="0" w:line="240" w:lineRule="auto"/>
        <w:jc w:val="both"/>
        <w:rPr>
          <w:rFonts w:ascii="Times New Roman" w:hAnsi="Times New Roman"/>
          <w:b/>
          <w:sz w:val="24"/>
          <w:szCs w:val="24"/>
          <w:lang w:val="ro-RO"/>
        </w:rPr>
      </w:pPr>
      <w:r>
        <w:rPr>
          <w:rFonts w:ascii="Times New Roman" w:hAnsi="Times New Roman"/>
          <w:bCs/>
          <w:sz w:val="24"/>
          <w:szCs w:val="24"/>
          <w:lang w:val="ro-RO"/>
        </w:rPr>
        <w:t>3.</w:t>
      </w:r>
      <w:r>
        <w:rPr>
          <w:rFonts w:ascii="Times New Roman" w:hAnsi="Times New Roman"/>
          <w:b/>
          <w:sz w:val="24"/>
          <w:szCs w:val="24"/>
          <w:lang w:val="ro-RO"/>
        </w:rPr>
        <w:t xml:space="preserve"> </w:t>
      </w:r>
      <w:r>
        <w:rPr>
          <w:rFonts w:ascii="Times New Roman" w:hAnsi="Times New Roman"/>
          <w:sz w:val="24"/>
          <w:szCs w:val="24"/>
          <w:lang w:val="ro-RO"/>
        </w:rPr>
        <w:t>Prezenta decizie intră în vigoare la data adoptării</w:t>
      </w:r>
      <w:r w:rsidR="00E06C7A">
        <w:rPr>
          <w:rFonts w:ascii="Times New Roman" w:hAnsi="Times New Roman"/>
          <w:sz w:val="24"/>
          <w:szCs w:val="24"/>
          <w:lang w:val="ro-RO"/>
        </w:rPr>
        <w:t xml:space="preserve"> și</w:t>
      </w:r>
      <w:r>
        <w:rPr>
          <w:rFonts w:ascii="Times New Roman" w:hAnsi="Times New Roman"/>
          <w:sz w:val="24"/>
          <w:szCs w:val="24"/>
          <w:lang w:val="ro-RO"/>
        </w:rPr>
        <w:t xml:space="preserve"> se publică pe pagina web oficială a Consiliului Audiovizualului.</w:t>
      </w:r>
    </w:p>
    <w:p w14:paraId="4875A96F" w14:textId="77777777" w:rsidR="00FD1845" w:rsidRDefault="00FD1845" w:rsidP="0025638B">
      <w:pPr>
        <w:tabs>
          <w:tab w:val="left" w:pos="851"/>
        </w:tabs>
        <w:spacing w:after="0" w:line="240" w:lineRule="auto"/>
        <w:ind w:firstLine="709"/>
        <w:rPr>
          <w:rFonts w:ascii="Times New Roman" w:hAnsi="Times New Roman"/>
          <w:b/>
          <w:bCs/>
          <w:sz w:val="24"/>
          <w:szCs w:val="24"/>
          <w:lang w:val="ro-RO"/>
        </w:rPr>
      </w:pPr>
    </w:p>
    <w:p w14:paraId="64F1D4A6" w14:textId="77777777" w:rsidR="00FD1845" w:rsidRDefault="00FD1845" w:rsidP="0025638B">
      <w:pPr>
        <w:tabs>
          <w:tab w:val="left" w:pos="851"/>
        </w:tabs>
        <w:spacing w:after="0" w:line="240" w:lineRule="auto"/>
        <w:ind w:firstLine="709"/>
        <w:rPr>
          <w:rFonts w:ascii="Times New Roman" w:hAnsi="Times New Roman"/>
          <w:b/>
          <w:bCs/>
          <w:sz w:val="24"/>
          <w:szCs w:val="24"/>
          <w:lang w:val="ro-RO"/>
        </w:rPr>
      </w:pPr>
    </w:p>
    <w:p w14:paraId="2C77CF87" w14:textId="0A288BE4" w:rsidR="00FD1845" w:rsidRDefault="00FD1845" w:rsidP="0025638B">
      <w:pPr>
        <w:spacing w:after="0" w:line="240" w:lineRule="auto"/>
        <w:rPr>
          <w:rFonts w:ascii="Times New Roman" w:hAnsi="Times New Roman"/>
          <w:b/>
          <w:bCs/>
          <w:sz w:val="24"/>
          <w:szCs w:val="24"/>
          <w:lang w:val="ro-RO"/>
        </w:rPr>
      </w:pPr>
      <w:r>
        <w:rPr>
          <w:rFonts w:ascii="Times New Roman" w:hAnsi="Times New Roman"/>
          <w:b/>
          <w:bCs/>
          <w:sz w:val="24"/>
          <w:szCs w:val="24"/>
          <w:lang w:val="ro-RO"/>
        </w:rPr>
        <w:t xml:space="preserve">PREȘEDINTĂ </w:t>
      </w:r>
      <w:r>
        <w:rPr>
          <w:rFonts w:ascii="Times New Roman" w:hAnsi="Times New Roman"/>
          <w:b/>
          <w:bCs/>
          <w:sz w:val="24"/>
          <w:szCs w:val="24"/>
          <w:lang w:val="ro-RO"/>
        </w:rPr>
        <w:tab/>
      </w:r>
      <w:r>
        <w:rPr>
          <w:rFonts w:ascii="Times New Roman" w:hAnsi="Times New Roman"/>
          <w:b/>
          <w:bCs/>
          <w:sz w:val="24"/>
          <w:szCs w:val="24"/>
          <w:lang w:val="ro-RO"/>
        </w:rPr>
        <w:tab/>
      </w:r>
      <w:r>
        <w:rPr>
          <w:rFonts w:ascii="Times New Roman" w:hAnsi="Times New Roman"/>
          <w:b/>
          <w:bCs/>
          <w:sz w:val="24"/>
          <w:szCs w:val="24"/>
          <w:lang w:val="ro-RO"/>
        </w:rPr>
        <w:tab/>
      </w:r>
      <w:r>
        <w:rPr>
          <w:rFonts w:ascii="Times New Roman" w:hAnsi="Times New Roman"/>
          <w:b/>
          <w:bCs/>
          <w:sz w:val="24"/>
          <w:szCs w:val="24"/>
          <w:lang w:val="ro-RO"/>
        </w:rPr>
        <w:tab/>
      </w:r>
      <w:r>
        <w:rPr>
          <w:rFonts w:ascii="Times New Roman" w:hAnsi="Times New Roman"/>
          <w:b/>
          <w:bCs/>
          <w:sz w:val="24"/>
          <w:szCs w:val="24"/>
          <w:lang w:val="ro-RO"/>
        </w:rPr>
        <w:tab/>
      </w:r>
      <w:r>
        <w:rPr>
          <w:rFonts w:ascii="Times New Roman" w:hAnsi="Times New Roman"/>
          <w:b/>
          <w:bCs/>
          <w:sz w:val="24"/>
          <w:szCs w:val="24"/>
          <w:lang w:val="ro-RO"/>
        </w:rPr>
        <w:tab/>
        <w:t xml:space="preserve">               </w:t>
      </w:r>
      <w:r w:rsidR="0025638B">
        <w:rPr>
          <w:rFonts w:ascii="Times New Roman" w:hAnsi="Times New Roman"/>
          <w:b/>
          <w:bCs/>
          <w:sz w:val="24"/>
          <w:szCs w:val="24"/>
          <w:lang w:val="ro-RO"/>
        </w:rPr>
        <w:t xml:space="preserve">       </w:t>
      </w:r>
      <w:r>
        <w:rPr>
          <w:rFonts w:ascii="Times New Roman" w:hAnsi="Times New Roman"/>
          <w:b/>
          <w:bCs/>
          <w:sz w:val="24"/>
          <w:szCs w:val="24"/>
          <w:lang w:val="ro-RO"/>
        </w:rPr>
        <w:t>Liliana VIȚU-EȘANU</w:t>
      </w:r>
    </w:p>
    <w:p w14:paraId="0B61451D" w14:textId="77777777" w:rsidR="00FD1845" w:rsidRDefault="00FD1845" w:rsidP="0025638B">
      <w:pPr>
        <w:spacing w:after="200" w:line="240" w:lineRule="auto"/>
        <w:rPr>
          <w:rFonts w:ascii="Times New Roman" w:hAnsi="Times New Roman"/>
          <w:b/>
          <w:bCs/>
          <w:sz w:val="24"/>
          <w:szCs w:val="24"/>
          <w:lang w:val="ro-RO"/>
        </w:rPr>
      </w:pPr>
    </w:p>
    <w:p w14:paraId="5EA36F1E" w14:textId="77777777" w:rsidR="00FD1845" w:rsidRDefault="00FD1845" w:rsidP="0025638B">
      <w:pPr>
        <w:spacing w:after="0" w:line="240" w:lineRule="auto"/>
        <w:jc w:val="right"/>
        <w:rPr>
          <w:rFonts w:ascii="Times New Roman" w:hAnsi="Times New Roman" w:cs="Times New Roman"/>
          <w:bCs/>
          <w:i/>
          <w:iCs/>
          <w:sz w:val="24"/>
          <w:szCs w:val="24"/>
        </w:rPr>
      </w:pPr>
    </w:p>
    <w:p w14:paraId="50884CC1" w14:textId="77777777" w:rsidR="00FD1845" w:rsidRDefault="00FD1845" w:rsidP="0025638B">
      <w:pPr>
        <w:spacing w:after="0" w:line="240" w:lineRule="auto"/>
        <w:jc w:val="right"/>
        <w:rPr>
          <w:rFonts w:ascii="Times New Roman" w:hAnsi="Times New Roman" w:cs="Times New Roman"/>
          <w:bCs/>
          <w:i/>
          <w:iCs/>
          <w:sz w:val="24"/>
          <w:szCs w:val="24"/>
        </w:rPr>
      </w:pPr>
    </w:p>
    <w:p w14:paraId="3F8173DC" w14:textId="77777777" w:rsidR="00FD1845" w:rsidRDefault="00FD1845" w:rsidP="0025638B">
      <w:pPr>
        <w:spacing w:after="0" w:line="240" w:lineRule="auto"/>
        <w:jc w:val="right"/>
        <w:rPr>
          <w:rFonts w:ascii="Times New Roman" w:hAnsi="Times New Roman" w:cs="Times New Roman"/>
          <w:bCs/>
          <w:i/>
          <w:iCs/>
          <w:sz w:val="24"/>
          <w:szCs w:val="24"/>
        </w:rPr>
      </w:pPr>
    </w:p>
    <w:p w14:paraId="02C40980" w14:textId="77777777" w:rsidR="00FD1845" w:rsidRDefault="00FD1845" w:rsidP="0025638B">
      <w:pPr>
        <w:spacing w:after="0" w:line="240" w:lineRule="auto"/>
        <w:jc w:val="right"/>
        <w:rPr>
          <w:rFonts w:ascii="Times New Roman" w:hAnsi="Times New Roman" w:cs="Times New Roman"/>
          <w:bCs/>
          <w:i/>
          <w:iCs/>
          <w:sz w:val="24"/>
          <w:szCs w:val="24"/>
        </w:rPr>
      </w:pPr>
    </w:p>
    <w:p w14:paraId="4D86A476" w14:textId="77777777" w:rsidR="00FD1845" w:rsidRDefault="00FD1845" w:rsidP="0025638B">
      <w:pPr>
        <w:spacing w:after="0" w:line="240" w:lineRule="auto"/>
        <w:jc w:val="right"/>
        <w:rPr>
          <w:rFonts w:ascii="Times New Roman" w:hAnsi="Times New Roman" w:cs="Times New Roman"/>
          <w:bCs/>
          <w:i/>
          <w:iCs/>
          <w:sz w:val="24"/>
          <w:szCs w:val="24"/>
        </w:rPr>
      </w:pPr>
    </w:p>
    <w:p w14:paraId="2050F0E2" w14:textId="77777777" w:rsidR="00FD1845" w:rsidRDefault="00FD1845" w:rsidP="0025638B">
      <w:pPr>
        <w:spacing w:after="0" w:line="240" w:lineRule="auto"/>
        <w:jc w:val="right"/>
        <w:rPr>
          <w:rFonts w:ascii="Times New Roman" w:hAnsi="Times New Roman" w:cs="Times New Roman"/>
          <w:bCs/>
          <w:i/>
          <w:iCs/>
          <w:sz w:val="24"/>
          <w:szCs w:val="24"/>
        </w:rPr>
      </w:pPr>
    </w:p>
    <w:p w14:paraId="189496CE" w14:textId="77777777" w:rsidR="00FD1845" w:rsidRDefault="00FD1845" w:rsidP="0025638B">
      <w:pPr>
        <w:spacing w:after="0" w:line="240" w:lineRule="auto"/>
        <w:jc w:val="right"/>
        <w:rPr>
          <w:rFonts w:ascii="Times New Roman" w:hAnsi="Times New Roman" w:cs="Times New Roman"/>
          <w:bCs/>
          <w:i/>
          <w:iCs/>
          <w:sz w:val="24"/>
          <w:szCs w:val="24"/>
        </w:rPr>
      </w:pPr>
    </w:p>
    <w:p w14:paraId="5F30CE7F" w14:textId="77777777" w:rsidR="00FD1845" w:rsidRDefault="00FD1845" w:rsidP="0025638B">
      <w:pPr>
        <w:spacing w:after="0" w:line="240" w:lineRule="auto"/>
        <w:jc w:val="right"/>
        <w:rPr>
          <w:rFonts w:ascii="Times New Roman" w:hAnsi="Times New Roman" w:cs="Times New Roman"/>
          <w:bCs/>
          <w:i/>
          <w:iCs/>
          <w:sz w:val="24"/>
          <w:szCs w:val="24"/>
        </w:rPr>
      </w:pPr>
    </w:p>
    <w:p w14:paraId="3300ED99" w14:textId="77777777" w:rsidR="00FD1845" w:rsidRDefault="00FD1845" w:rsidP="0025638B">
      <w:pPr>
        <w:spacing w:after="0" w:line="240" w:lineRule="auto"/>
        <w:rPr>
          <w:rFonts w:ascii="Times New Roman" w:hAnsi="Times New Roman" w:cs="Times New Roman"/>
          <w:bCs/>
          <w:i/>
          <w:iCs/>
          <w:sz w:val="24"/>
          <w:szCs w:val="24"/>
        </w:rPr>
      </w:pPr>
    </w:p>
    <w:p w14:paraId="1CA24F92" w14:textId="77777777" w:rsidR="007104D5" w:rsidRDefault="007104D5" w:rsidP="0025638B">
      <w:pPr>
        <w:spacing w:after="0" w:line="240" w:lineRule="auto"/>
        <w:rPr>
          <w:rFonts w:ascii="Times New Roman" w:hAnsi="Times New Roman" w:cs="Times New Roman"/>
          <w:bCs/>
          <w:i/>
          <w:iCs/>
          <w:sz w:val="24"/>
          <w:szCs w:val="24"/>
        </w:rPr>
      </w:pPr>
    </w:p>
    <w:p w14:paraId="42F5A864" w14:textId="77777777" w:rsidR="00BA0A78" w:rsidRDefault="00BA0A78" w:rsidP="0025638B">
      <w:pPr>
        <w:spacing w:after="0" w:line="240" w:lineRule="auto"/>
        <w:rPr>
          <w:rFonts w:ascii="Times New Roman" w:hAnsi="Times New Roman" w:cs="Times New Roman"/>
          <w:bCs/>
          <w:i/>
          <w:iCs/>
          <w:sz w:val="24"/>
          <w:szCs w:val="24"/>
        </w:rPr>
      </w:pPr>
    </w:p>
    <w:p w14:paraId="604F8D19" w14:textId="77777777" w:rsidR="00BA0A78" w:rsidRDefault="00BA0A78" w:rsidP="0025638B">
      <w:pPr>
        <w:spacing w:after="0" w:line="240" w:lineRule="auto"/>
        <w:rPr>
          <w:rFonts w:ascii="Times New Roman" w:hAnsi="Times New Roman" w:cs="Times New Roman"/>
          <w:bCs/>
          <w:i/>
          <w:iCs/>
          <w:sz w:val="24"/>
          <w:szCs w:val="24"/>
        </w:rPr>
      </w:pPr>
    </w:p>
    <w:p w14:paraId="119B8BFE" w14:textId="77777777" w:rsidR="00E06C7A" w:rsidRDefault="00E06C7A" w:rsidP="0025638B">
      <w:pPr>
        <w:spacing w:after="0" w:line="240" w:lineRule="auto"/>
        <w:rPr>
          <w:rFonts w:ascii="Times New Roman" w:hAnsi="Times New Roman" w:cs="Times New Roman"/>
          <w:bCs/>
          <w:i/>
          <w:iCs/>
          <w:sz w:val="24"/>
          <w:szCs w:val="24"/>
        </w:rPr>
      </w:pPr>
    </w:p>
    <w:p w14:paraId="72FB5F2A" w14:textId="77777777" w:rsidR="00E06C7A" w:rsidRDefault="00E06C7A" w:rsidP="0025638B">
      <w:pPr>
        <w:spacing w:after="0" w:line="240" w:lineRule="auto"/>
        <w:jc w:val="right"/>
        <w:rPr>
          <w:rFonts w:ascii="Times New Roman" w:hAnsi="Times New Roman"/>
          <w:bCs/>
          <w:sz w:val="24"/>
          <w:szCs w:val="24"/>
          <w:lang w:val="ro-RO"/>
        </w:rPr>
      </w:pPr>
      <w:r>
        <w:rPr>
          <w:rFonts w:ascii="Times New Roman" w:hAnsi="Times New Roman"/>
          <w:bCs/>
          <w:sz w:val="24"/>
          <w:szCs w:val="24"/>
          <w:lang w:val="ro-RO"/>
        </w:rPr>
        <w:lastRenderedPageBreak/>
        <w:t xml:space="preserve">Anexă </w:t>
      </w:r>
    </w:p>
    <w:p w14:paraId="4FFE1316" w14:textId="299490DA" w:rsidR="00FD1845" w:rsidRDefault="00E93AE7" w:rsidP="0025638B">
      <w:pPr>
        <w:spacing w:after="0" w:line="240" w:lineRule="auto"/>
        <w:jc w:val="right"/>
        <w:rPr>
          <w:rFonts w:ascii="Times New Roman" w:hAnsi="Times New Roman"/>
          <w:bCs/>
          <w:sz w:val="24"/>
          <w:szCs w:val="24"/>
          <w:lang w:val="ro-RO"/>
        </w:rPr>
      </w:pPr>
      <w:r>
        <w:rPr>
          <w:rFonts w:ascii="Times New Roman" w:hAnsi="Times New Roman"/>
          <w:bCs/>
          <w:sz w:val="24"/>
          <w:szCs w:val="24"/>
          <w:lang w:val="ro-RO"/>
        </w:rPr>
        <w:t>l</w:t>
      </w:r>
      <w:r w:rsidR="00E06C7A">
        <w:rPr>
          <w:rFonts w:ascii="Times New Roman" w:hAnsi="Times New Roman"/>
          <w:bCs/>
          <w:sz w:val="24"/>
          <w:szCs w:val="24"/>
          <w:lang w:val="ro-RO"/>
        </w:rPr>
        <w:t xml:space="preserve">a </w:t>
      </w:r>
      <w:r w:rsidR="00FD1845" w:rsidRPr="007969FB">
        <w:rPr>
          <w:rFonts w:ascii="Times New Roman" w:hAnsi="Times New Roman"/>
          <w:bCs/>
          <w:sz w:val="24"/>
          <w:szCs w:val="24"/>
          <w:lang w:val="ro-RO"/>
        </w:rPr>
        <w:t>Decizia Consiliului Audiovizualului</w:t>
      </w:r>
    </w:p>
    <w:p w14:paraId="36DE677D" w14:textId="5DED30A9" w:rsidR="00FD1845" w:rsidRPr="00FD1845" w:rsidRDefault="00BA0A78" w:rsidP="0025638B">
      <w:pPr>
        <w:spacing w:after="0" w:line="240" w:lineRule="auto"/>
        <w:jc w:val="right"/>
        <w:rPr>
          <w:rFonts w:ascii="Times New Roman" w:hAnsi="Times New Roman"/>
          <w:bCs/>
          <w:sz w:val="24"/>
          <w:szCs w:val="24"/>
          <w:lang w:val="ro-RO"/>
        </w:rPr>
      </w:pPr>
      <w:r>
        <w:rPr>
          <w:rFonts w:ascii="Times New Roman" w:hAnsi="Times New Roman"/>
          <w:bCs/>
          <w:sz w:val="24"/>
          <w:szCs w:val="24"/>
          <w:lang w:val="ro-RO"/>
        </w:rPr>
        <w:t>n</w:t>
      </w:r>
      <w:r w:rsidR="00FD1845">
        <w:rPr>
          <w:rFonts w:ascii="Times New Roman" w:hAnsi="Times New Roman"/>
          <w:bCs/>
          <w:sz w:val="24"/>
          <w:szCs w:val="24"/>
          <w:lang w:val="ro-RO"/>
        </w:rPr>
        <w:t>r</w:t>
      </w:r>
      <w:r>
        <w:rPr>
          <w:rFonts w:ascii="Times New Roman" w:hAnsi="Times New Roman"/>
          <w:bCs/>
          <w:sz w:val="24"/>
          <w:szCs w:val="24"/>
          <w:lang w:val="ro-RO"/>
        </w:rPr>
        <w:t>. 124</w:t>
      </w:r>
      <w:r w:rsidR="00FD1845">
        <w:rPr>
          <w:rFonts w:ascii="Times New Roman" w:hAnsi="Times New Roman"/>
          <w:bCs/>
          <w:sz w:val="24"/>
          <w:szCs w:val="24"/>
          <w:lang w:val="ro-RO"/>
        </w:rPr>
        <w:t xml:space="preserve"> din</w:t>
      </w:r>
      <w:r>
        <w:rPr>
          <w:rFonts w:ascii="Times New Roman" w:hAnsi="Times New Roman"/>
          <w:bCs/>
          <w:sz w:val="24"/>
          <w:szCs w:val="24"/>
          <w:lang w:val="ro-RO"/>
        </w:rPr>
        <w:t xml:space="preserve"> 26 aprilie 2024</w:t>
      </w:r>
    </w:p>
    <w:p w14:paraId="54BD33C7" w14:textId="77777777" w:rsidR="00102E3C" w:rsidRDefault="00102E3C" w:rsidP="0025638B">
      <w:pPr>
        <w:spacing w:after="0" w:line="240" w:lineRule="auto"/>
        <w:jc w:val="both"/>
        <w:rPr>
          <w:rFonts w:ascii="Times New Roman" w:hAnsi="Times New Roman" w:cs="Times New Roman"/>
          <w:b/>
          <w:sz w:val="24"/>
          <w:szCs w:val="24"/>
        </w:rPr>
      </w:pPr>
    </w:p>
    <w:p w14:paraId="522F6BB9" w14:textId="77777777" w:rsidR="00BA0A78" w:rsidRPr="009C2138" w:rsidRDefault="00BA0A78" w:rsidP="0025638B">
      <w:pPr>
        <w:spacing w:after="0" w:line="240" w:lineRule="auto"/>
        <w:jc w:val="both"/>
        <w:rPr>
          <w:rFonts w:ascii="Times New Roman" w:hAnsi="Times New Roman" w:cs="Times New Roman"/>
          <w:b/>
          <w:sz w:val="24"/>
          <w:szCs w:val="24"/>
        </w:rPr>
      </w:pPr>
    </w:p>
    <w:p w14:paraId="0F0E9F08" w14:textId="77777777" w:rsidR="00BA0A78" w:rsidRDefault="00102E3C" w:rsidP="0025638B">
      <w:pPr>
        <w:spacing w:after="0" w:line="240" w:lineRule="auto"/>
        <w:jc w:val="center"/>
        <w:rPr>
          <w:rFonts w:ascii="Times New Roman" w:hAnsi="Times New Roman" w:cs="Times New Roman"/>
          <w:b/>
          <w:color w:val="000000" w:themeColor="text1"/>
          <w:sz w:val="28"/>
          <w:szCs w:val="28"/>
        </w:rPr>
      </w:pPr>
      <w:r w:rsidRPr="00BA0A78">
        <w:rPr>
          <w:rFonts w:ascii="Times New Roman" w:hAnsi="Times New Roman" w:cs="Times New Roman"/>
          <w:b/>
          <w:color w:val="000000" w:themeColor="text1"/>
          <w:sz w:val="28"/>
          <w:szCs w:val="28"/>
        </w:rPr>
        <w:t xml:space="preserve">Metodologia de monitorizare </w:t>
      </w:r>
    </w:p>
    <w:p w14:paraId="79783587" w14:textId="1089BC6F" w:rsidR="00102E3C" w:rsidRPr="00BA0A78" w:rsidRDefault="00102E3C" w:rsidP="0025638B">
      <w:pPr>
        <w:spacing w:after="0" w:line="240" w:lineRule="auto"/>
        <w:jc w:val="center"/>
        <w:rPr>
          <w:rFonts w:ascii="Times New Roman" w:hAnsi="Times New Roman" w:cs="Times New Roman"/>
          <w:color w:val="000000" w:themeColor="text1"/>
          <w:sz w:val="28"/>
          <w:szCs w:val="28"/>
        </w:rPr>
      </w:pPr>
      <w:r w:rsidRPr="00BA0A78">
        <w:rPr>
          <w:rFonts w:ascii="Times New Roman" w:hAnsi="Times New Roman" w:cs="Times New Roman"/>
          <w:b/>
          <w:color w:val="000000" w:themeColor="text1"/>
          <w:sz w:val="28"/>
          <w:szCs w:val="28"/>
        </w:rPr>
        <w:t>a conținuturilor audiovizuale cu caracter electoral</w:t>
      </w:r>
    </w:p>
    <w:p w14:paraId="13AA6CE3"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p>
    <w:p w14:paraId="0C200939"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r w:rsidRPr="009C2138">
        <w:rPr>
          <w:rFonts w:ascii="Times New Roman" w:hAnsi="Times New Roman" w:cs="Times New Roman"/>
          <w:b/>
          <w:color w:val="000000" w:themeColor="text1"/>
          <w:sz w:val="24"/>
          <w:szCs w:val="24"/>
        </w:rPr>
        <w:t xml:space="preserve">Principii generale: </w:t>
      </w:r>
      <w:r w:rsidRPr="009C2138">
        <w:rPr>
          <w:rFonts w:ascii="Times New Roman" w:hAnsi="Times New Roman" w:cs="Times New Roman"/>
          <w:color w:val="000000" w:themeColor="text1"/>
          <w:sz w:val="24"/>
          <w:szCs w:val="24"/>
          <w:shd w:val="clear" w:color="auto" w:fill="FFFFFF"/>
        </w:rPr>
        <w:t xml:space="preserve">Alegerile libere și corecte reprezintă cel mai important exercițiu democratic, pentru că cetățenii își aleg conducătorii, iar de opțiunea votanților depinde direcția de guvernare, la nivel local sau central, în următorii câțiva ani. Însăși alegerile libere și corecte rămân a fi o expresie a democrației. Sunt motive din care legea dispune reguli stricte de comportament pentru toți actorii implicați în procesul electoral: organe de stat, inclusiv organe electorale; concurenți electorali, agenții de publicitate; mass-media; alegători. Fără reguli și fără o supraveghere corespunzătoare a respectării regulilor, febra competiției politice poate ușor compromite exercițiul democratic. Prezenta metodologie vine în sprijinul Consiliului Audiovizualului (CA) care are atribuția și obligația să supravegheze respectarea regulilor în alegeri de către furnizorii de servicii media audiovizuale (FSM). </w:t>
      </w:r>
    </w:p>
    <w:p w14:paraId="440E917F"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7DF07B0B"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b/>
          <w:color w:val="000000" w:themeColor="text1"/>
          <w:sz w:val="24"/>
          <w:szCs w:val="24"/>
        </w:rPr>
        <w:t xml:space="preserve">Scopul metodologiei: </w:t>
      </w:r>
      <w:r w:rsidRPr="009C2138">
        <w:rPr>
          <w:rFonts w:ascii="Times New Roman" w:hAnsi="Times New Roman" w:cs="Times New Roman"/>
          <w:color w:val="000000" w:themeColor="text1"/>
          <w:sz w:val="24"/>
          <w:szCs w:val="24"/>
        </w:rPr>
        <w:t xml:space="preserve">a determina măsura în care conținuturile audiovizuale monitorizate corespund rigorilor juridice, precum și angajamentelor asumate prin Declarația politicii editoriale a furnizorilor de servicii media în reflectarea alegerilor de orice tip și a referendumurilor. </w:t>
      </w:r>
    </w:p>
    <w:p w14:paraId="0DAD40E5"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4A9F5A3F"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b/>
          <w:color w:val="000000" w:themeColor="text1"/>
          <w:sz w:val="24"/>
          <w:szCs w:val="24"/>
        </w:rPr>
        <w:t>Aplicarea metodologiei</w:t>
      </w:r>
      <w:r w:rsidRPr="009C2138">
        <w:rPr>
          <w:rFonts w:ascii="Times New Roman" w:hAnsi="Times New Roman" w:cs="Times New Roman"/>
          <w:color w:val="000000" w:themeColor="text1"/>
          <w:sz w:val="24"/>
          <w:szCs w:val="24"/>
        </w:rPr>
        <w:t xml:space="preserve">: </w:t>
      </w:r>
    </w:p>
    <w:p w14:paraId="5E56008C" w14:textId="77777777" w:rsidR="00102E3C" w:rsidRPr="009C2138" w:rsidRDefault="00102E3C" w:rsidP="0025638B">
      <w:pPr>
        <w:pStyle w:val="Listparagraf"/>
        <w:numPr>
          <w:ilvl w:val="0"/>
          <w:numId w:val="2"/>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 xml:space="preserve">la monitorizarea tuturor conținuturilor cu caracter electoral; </w:t>
      </w:r>
    </w:p>
    <w:p w14:paraId="245FD6A6" w14:textId="77777777" w:rsidR="00102E3C" w:rsidRPr="009C2138" w:rsidRDefault="00102E3C" w:rsidP="0025638B">
      <w:pPr>
        <w:pStyle w:val="Listparagraf"/>
        <w:numPr>
          <w:ilvl w:val="0"/>
          <w:numId w:val="2"/>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lang w:val="ro-RO"/>
        </w:rPr>
        <w:t>î</w:t>
      </w:r>
      <w:r w:rsidRPr="009C2138">
        <w:rPr>
          <w:rFonts w:ascii="Times New Roman" w:hAnsi="Times New Roman" w:cs="Times New Roman"/>
          <w:color w:val="000000" w:themeColor="text1"/>
          <w:sz w:val="24"/>
          <w:szCs w:val="24"/>
        </w:rPr>
        <w:t>n cazul autosesizărilor CA în materie de conținuturi cu caracter electoral;</w:t>
      </w:r>
    </w:p>
    <w:p w14:paraId="0BBA6557" w14:textId="77777777" w:rsidR="00102E3C" w:rsidRPr="009C2138" w:rsidRDefault="00102E3C" w:rsidP="0025638B">
      <w:pPr>
        <w:pStyle w:val="Listparagraf"/>
        <w:numPr>
          <w:ilvl w:val="0"/>
          <w:numId w:val="2"/>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în cazul sesizărilor venite la CA în materie de conținuturi cu caracter electoral;</w:t>
      </w:r>
    </w:p>
    <w:p w14:paraId="08CE7594" w14:textId="77777777" w:rsidR="00102E3C" w:rsidRPr="009C2138" w:rsidRDefault="00102E3C" w:rsidP="0025638B">
      <w:pPr>
        <w:pStyle w:val="Listparagraf"/>
        <w:numPr>
          <w:ilvl w:val="0"/>
          <w:numId w:val="2"/>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în cazul auto monitorizării de către FSM a propriilor conținuturi cu caracter electoral.</w:t>
      </w:r>
    </w:p>
    <w:p w14:paraId="7381605E"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455AD96E"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b/>
          <w:color w:val="000000" w:themeColor="text1"/>
          <w:sz w:val="24"/>
          <w:szCs w:val="24"/>
        </w:rPr>
        <w:t>Metode aplicate</w:t>
      </w:r>
      <w:r w:rsidRPr="009C2138">
        <w:rPr>
          <w:rFonts w:ascii="Times New Roman" w:hAnsi="Times New Roman" w:cs="Times New Roman"/>
          <w:color w:val="000000" w:themeColor="text1"/>
          <w:sz w:val="24"/>
          <w:szCs w:val="24"/>
        </w:rPr>
        <w:t xml:space="preserve">: </w:t>
      </w:r>
    </w:p>
    <w:p w14:paraId="49541E5D" w14:textId="77777777" w:rsidR="00102E3C" w:rsidRPr="009C2138" w:rsidRDefault="00102E3C" w:rsidP="0025638B">
      <w:pPr>
        <w:pStyle w:val="Listparagraf"/>
        <w:numPr>
          <w:ilvl w:val="0"/>
          <w:numId w:val="3"/>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analiza de conținut: pentru a determina conformitatea/neconformitatea conținuturilor monitorizate cu rigorile juridice;</w:t>
      </w:r>
    </w:p>
    <w:p w14:paraId="3B1DA19D" w14:textId="77777777" w:rsidR="00102E3C" w:rsidRPr="009C2138" w:rsidRDefault="00102E3C" w:rsidP="0025638B">
      <w:pPr>
        <w:pStyle w:val="Listparagraf"/>
        <w:numPr>
          <w:ilvl w:val="0"/>
          <w:numId w:val="3"/>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analiza comparată: pentru a determina evoluția/involuția fiecărui FSM în reflectarea alegerilor/referendumului;</w:t>
      </w:r>
    </w:p>
    <w:p w14:paraId="7ACDD6FA" w14:textId="77777777" w:rsidR="00102E3C" w:rsidRPr="009C2138" w:rsidRDefault="00102E3C" w:rsidP="0025638B">
      <w:pPr>
        <w:pStyle w:val="Listparagraf"/>
        <w:numPr>
          <w:ilvl w:val="0"/>
          <w:numId w:val="3"/>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analiza și sinteza: pentru a genera date relevante care să constate starea de fapt în reflectarea alegerilor de către subiecții monitorizați.</w:t>
      </w:r>
    </w:p>
    <w:p w14:paraId="41C27E10"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5D6B0068"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b/>
          <w:color w:val="000000" w:themeColor="text1"/>
          <w:sz w:val="24"/>
          <w:szCs w:val="24"/>
        </w:rPr>
        <w:t>Subiecți monitorizați</w:t>
      </w:r>
      <w:r w:rsidRPr="009C2138">
        <w:rPr>
          <w:rFonts w:ascii="Times New Roman" w:hAnsi="Times New Roman" w:cs="Times New Roman"/>
          <w:color w:val="000000" w:themeColor="text1"/>
          <w:sz w:val="24"/>
          <w:szCs w:val="24"/>
        </w:rPr>
        <w:t>: lista FSM decisă de CA.</w:t>
      </w:r>
    </w:p>
    <w:p w14:paraId="6CFB7264"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056053A7"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b/>
          <w:color w:val="000000" w:themeColor="text1"/>
          <w:sz w:val="24"/>
          <w:szCs w:val="24"/>
        </w:rPr>
        <w:t xml:space="preserve">Perioada monitorizării: </w:t>
      </w:r>
      <w:r w:rsidRPr="009C2138">
        <w:rPr>
          <w:rFonts w:ascii="Times New Roman" w:hAnsi="Times New Roman" w:cs="Times New Roman"/>
          <w:color w:val="000000" w:themeColor="text1"/>
          <w:sz w:val="24"/>
          <w:szCs w:val="24"/>
        </w:rPr>
        <w:t>de regulă, perioada electorală sau segmente temporale nu mai scurte de o săptămână, stabilite de CA.</w:t>
      </w:r>
    </w:p>
    <w:p w14:paraId="5B75E1BE"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p>
    <w:p w14:paraId="54621914"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r w:rsidRPr="009C2138">
        <w:rPr>
          <w:rFonts w:ascii="Times New Roman" w:hAnsi="Times New Roman" w:cs="Times New Roman"/>
          <w:b/>
          <w:color w:val="000000" w:themeColor="text1"/>
          <w:sz w:val="24"/>
          <w:szCs w:val="24"/>
        </w:rPr>
        <w:t xml:space="preserve">Conținuturi monitorizate: </w:t>
      </w:r>
      <w:r w:rsidRPr="009C2138">
        <w:rPr>
          <w:rFonts w:ascii="Times New Roman" w:hAnsi="Times New Roman" w:cs="Times New Roman"/>
          <w:color w:val="000000" w:themeColor="text1"/>
          <w:sz w:val="24"/>
          <w:szCs w:val="24"/>
        </w:rPr>
        <w:t>conținuturi audiovizuale cu caracter electoral</w:t>
      </w:r>
      <w:r w:rsidRPr="009C2138">
        <w:rPr>
          <w:rFonts w:ascii="Times New Roman" w:hAnsi="Times New Roman" w:cs="Times New Roman"/>
          <w:b/>
          <w:color w:val="000000" w:themeColor="text1"/>
          <w:sz w:val="24"/>
          <w:szCs w:val="24"/>
        </w:rPr>
        <w:t xml:space="preserve"> </w:t>
      </w:r>
      <w:r w:rsidRPr="009C2138">
        <w:rPr>
          <w:rFonts w:ascii="Times New Roman" w:hAnsi="Times New Roman" w:cs="Times New Roman"/>
          <w:color w:val="000000" w:themeColor="text1"/>
          <w:sz w:val="24"/>
          <w:szCs w:val="24"/>
        </w:rPr>
        <w:t xml:space="preserve">difuzate în cadrul unui serviciu media, a unei secțiuni a serviciului media sau în cadrul unor programe concrete, stabilite prin decizie de către CA. </w:t>
      </w:r>
    </w:p>
    <w:p w14:paraId="5268F30D"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p>
    <w:p w14:paraId="1F410AF2"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b/>
          <w:color w:val="000000" w:themeColor="text1"/>
          <w:sz w:val="24"/>
          <w:szCs w:val="24"/>
        </w:rPr>
        <w:t xml:space="preserve">Indicatori ai metodologiei: </w:t>
      </w:r>
      <w:r w:rsidRPr="009C2138">
        <w:rPr>
          <w:rFonts w:ascii="Times New Roman" w:hAnsi="Times New Roman" w:cs="Times New Roman"/>
          <w:color w:val="000000" w:themeColor="text1"/>
          <w:sz w:val="24"/>
          <w:szCs w:val="24"/>
        </w:rPr>
        <w:t>metodologia utilizează indicatori cantitativi/calitativi; aplicarea cărora trebuie să determine dacă un program audiovizual cu caracter electoral întrunește sau nu cerințele prevăzute de legislația electorală, audiovizuală și conexă relevantă, precum și angajamentele asumate de FSM prin Declarația privind politica editorială în reflectarea alegerilor/referendumului.</w:t>
      </w:r>
    </w:p>
    <w:p w14:paraId="1D4DBBDC"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4A2CA783"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Conținuturile cu caracter electoral sunt diferite și, respectiv, față de acestea și rigorile juridice impuse sunt diferite. Faptul dat relevă necesitatea:</w:t>
      </w:r>
    </w:p>
    <w:p w14:paraId="2E231619" w14:textId="77777777" w:rsidR="00102E3C" w:rsidRPr="009C2138" w:rsidRDefault="00102E3C" w:rsidP="0025638B">
      <w:pPr>
        <w:pStyle w:val="Listparagraf"/>
        <w:numPr>
          <w:ilvl w:val="0"/>
          <w:numId w:val="4"/>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lastRenderedPageBreak/>
        <w:t>de a ajusta indicatorii cantitativi/calitativi în funcție de ce categorie/categorii de conținuturi, așa cum sunt clasificate de Codul electoral, urmează a fi monitorizate;</w:t>
      </w:r>
    </w:p>
    <w:p w14:paraId="131377D4" w14:textId="77777777" w:rsidR="00102E3C" w:rsidRPr="009C2138" w:rsidRDefault="00102E3C" w:rsidP="0025638B">
      <w:pPr>
        <w:pStyle w:val="Listparagraf"/>
        <w:numPr>
          <w:ilvl w:val="0"/>
          <w:numId w:val="4"/>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de a monitoriza în mod separat:</w:t>
      </w:r>
    </w:p>
    <w:p w14:paraId="6CE8C313" w14:textId="77777777" w:rsidR="00102E3C" w:rsidRPr="009C2138" w:rsidRDefault="00102E3C" w:rsidP="0025638B">
      <w:pPr>
        <w:pStyle w:val="Listparagraf"/>
        <w:numPr>
          <w:ilvl w:val="0"/>
          <w:numId w:val="1"/>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programele de știri și actualități și emisiunile de informare electorală;</w:t>
      </w:r>
    </w:p>
    <w:p w14:paraId="38909F8C" w14:textId="77777777" w:rsidR="00102E3C" w:rsidRPr="009C2138" w:rsidRDefault="00102E3C" w:rsidP="0025638B">
      <w:pPr>
        <w:pStyle w:val="Listparagraf"/>
        <w:numPr>
          <w:ilvl w:val="0"/>
          <w:numId w:val="1"/>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emisiunile de promovare electorală;</w:t>
      </w:r>
    </w:p>
    <w:p w14:paraId="1F458A37" w14:textId="77777777" w:rsidR="00102E3C" w:rsidRPr="009C2138" w:rsidRDefault="00102E3C" w:rsidP="0025638B">
      <w:pPr>
        <w:pStyle w:val="Listparagraf"/>
        <w:numPr>
          <w:ilvl w:val="0"/>
          <w:numId w:val="1"/>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dezbaterile electorale;</w:t>
      </w:r>
    </w:p>
    <w:p w14:paraId="49D416FA" w14:textId="77777777" w:rsidR="00102E3C" w:rsidRPr="009C2138" w:rsidRDefault="00102E3C" w:rsidP="0025638B">
      <w:pPr>
        <w:pStyle w:val="Listparagraf"/>
        <w:numPr>
          <w:ilvl w:val="0"/>
          <w:numId w:val="1"/>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programele de publicitate electorală (după caz, și a conținuturilor de autopromovare a programelor audiovizuale cu caracter electoral).</w:t>
      </w:r>
    </w:p>
    <w:p w14:paraId="68825B18"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6BEDA599"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b/>
          <w:color w:val="000000" w:themeColor="text1"/>
          <w:sz w:val="24"/>
          <w:szCs w:val="24"/>
        </w:rPr>
        <w:t xml:space="preserve">Utilizarea indicatorilor: </w:t>
      </w:r>
      <w:r w:rsidRPr="009C2138">
        <w:rPr>
          <w:rFonts w:ascii="Times New Roman" w:hAnsi="Times New Roman" w:cs="Times New Roman"/>
          <w:color w:val="000000" w:themeColor="text1"/>
          <w:sz w:val="24"/>
          <w:szCs w:val="24"/>
        </w:rPr>
        <w:t>indicatorii sunt utilizați în funcție de categoria conținuturilor monitorizate. Utilizarea indicatorilor pentru monitorizarea programelor de știri și actualități și a emisiunilor de informare electorală, este explicată în tabelul alăturat:</w:t>
      </w:r>
    </w:p>
    <w:p w14:paraId="16F6BE6B"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p>
    <w:p w14:paraId="12F3CEA3"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r w:rsidRPr="009C2138">
        <w:rPr>
          <w:rFonts w:ascii="Times New Roman" w:hAnsi="Times New Roman" w:cs="Times New Roman"/>
          <w:b/>
          <w:color w:val="000000" w:themeColor="text1"/>
          <w:sz w:val="24"/>
          <w:szCs w:val="24"/>
        </w:rPr>
        <w:t xml:space="preserve">Tabel explicativ </w:t>
      </w:r>
    </w:p>
    <w:p w14:paraId="2E4B0CCC"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p>
    <w:tbl>
      <w:tblPr>
        <w:tblStyle w:val="Tabelgril"/>
        <w:tblW w:w="9634" w:type="dxa"/>
        <w:tblLook w:val="04A0" w:firstRow="1" w:lastRow="0" w:firstColumn="1" w:lastColumn="0" w:noHBand="0" w:noVBand="1"/>
      </w:tblPr>
      <w:tblGrid>
        <w:gridCol w:w="528"/>
        <w:gridCol w:w="1475"/>
        <w:gridCol w:w="4132"/>
        <w:gridCol w:w="2428"/>
        <w:gridCol w:w="1071"/>
      </w:tblGrid>
      <w:tr w:rsidR="00102E3C" w:rsidRPr="009C2138" w14:paraId="24735D2C" w14:textId="77777777" w:rsidTr="006D0D9B">
        <w:tc>
          <w:tcPr>
            <w:tcW w:w="528" w:type="dxa"/>
          </w:tcPr>
          <w:p w14:paraId="1036AFD3"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Nr.</w:t>
            </w:r>
          </w:p>
        </w:tc>
        <w:tc>
          <w:tcPr>
            <w:tcW w:w="1310" w:type="dxa"/>
          </w:tcPr>
          <w:p w14:paraId="1D03F098"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Indicator</w:t>
            </w:r>
          </w:p>
        </w:tc>
        <w:tc>
          <w:tcPr>
            <w:tcW w:w="4291" w:type="dxa"/>
          </w:tcPr>
          <w:p w14:paraId="3B31C0E0"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Semnificație / raționament / aplicare / rezultat</w:t>
            </w:r>
          </w:p>
        </w:tc>
        <w:tc>
          <w:tcPr>
            <w:tcW w:w="2428" w:type="dxa"/>
          </w:tcPr>
          <w:p w14:paraId="7EC11A0D"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Calificative</w:t>
            </w:r>
          </w:p>
        </w:tc>
        <w:tc>
          <w:tcPr>
            <w:tcW w:w="1077" w:type="dxa"/>
          </w:tcPr>
          <w:p w14:paraId="51116C44"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Coduri</w:t>
            </w:r>
          </w:p>
        </w:tc>
      </w:tr>
      <w:tr w:rsidR="00102E3C" w:rsidRPr="009C2138" w14:paraId="09150229" w14:textId="77777777" w:rsidTr="006D0D9B">
        <w:tc>
          <w:tcPr>
            <w:tcW w:w="528" w:type="dxa"/>
          </w:tcPr>
          <w:p w14:paraId="78CA2D1C"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 xml:space="preserve">1. </w:t>
            </w:r>
          </w:p>
        </w:tc>
        <w:tc>
          <w:tcPr>
            <w:tcW w:w="1310" w:type="dxa"/>
          </w:tcPr>
          <w:p w14:paraId="7F3179FD"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Data / ora</w:t>
            </w:r>
          </w:p>
        </w:tc>
        <w:tc>
          <w:tcPr>
            <w:tcW w:w="4291" w:type="dxa"/>
          </w:tcPr>
          <w:p w14:paraId="2821D1A1"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 măsoară numărul zilelor și orele în/la care au fost difuzate conținuturile monitorizate. Indică uniformitatea sau lipsa acesteia în repartizarea conținuturilor în perioada monitorizată. Stabilește dacă difuzarea anumitor conținuturi (sondaje, publicitate electorală) este permisă/interzisă în anumite zile (ziua tăcerii/scrutinului) și dacă ora de difuzare corespunde legii (ore de maximă audiență). De exemplu, potrivit legii, conținuturile </w:t>
            </w:r>
            <w:r w:rsidRPr="009C2138">
              <w:rPr>
                <w:rFonts w:ascii="Times New Roman" w:hAnsi="Times New Roman" w:cs="Times New Roman"/>
                <w:bCs/>
                <w:color w:val="000000" w:themeColor="text1"/>
              </w:rPr>
              <w:t xml:space="preserve">cu caracter electoral trebuie difuzate în intervalul orar 06.00 – 24.00, cu excepția dezbaterilor electorale care trebuie difuzate în orele de maximă audiență. </w:t>
            </w:r>
            <w:r w:rsidRPr="009C2138">
              <w:rPr>
                <w:rFonts w:ascii="Times New Roman" w:hAnsi="Times New Roman" w:cs="Times New Roman"/>
                <w:color w:val="000000" w:themeColor="text1"/>
              </w:rPr>
              <w:t>Data și ora trebuie să corespundă și angajamentelor din Declarație.</w:t>
            </w:r>
            <w:r w:rsidRPr="009C2138">
              <w:rPr>
                <w:rFonts w:ascii="Times New Roman" w:eastAsiaTheme="minorEastAsia" w:hAnsi="Times New Roman" w:cs="Times New Roman"/>
                <w:b/>
                <w:bCs/>
                <w:color w:val="000000" w:themeColor="text1"/>
                <w:kern w:val="24"/>
                <w:lang w:eastAsia="ru-RU"/>
              </w:rPr>
              <w:t xml:space="preserve"> </w:t>
            </w:r>
          </w:p>
          <w:p w14:paraId="3473C490"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în Fișa de monitorizare (Fișă) este indicată data și ora programului cu caracter electoral; dacă ziua/ora contravin legii, faptul atestat este reflectat în rezultatele monitorizării (raport).</w:t>
            </w:r>
          </w:p>
        </w:tc>
        <w:tc>
          <w:tcPr>
            <w:tcW w:w="2428" w:type="dxa"/>
          </w:tcPr>
          <w:p w14:paraId="58488F32"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Conformă/neconformă cerințelor legale</w:t>
            </w:r>
          </w:p>
        </w:tc>
        <w:tc>
          <w:tcPr>
            <w:tcW w:w="1077" w:type="dxa"/>
          </w:tcPr>
          <w:p w14:paraId="72AA448E"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cf/ncf</w:t>
            </w:r>
          </w:p>
        </w:tc>
      </w:tr>
      <w:tr w:rsidR="00102E3C" w:rsidRPr="009C2138" w14:paraId="5E5FCEB1" w14:textId="77777777" w:rsidTr="006D0D9B">
        <w:tc>
          <w:tcPr>
            <w:tcW w:w="528" w:type="dxa"/>
          </w:tcPr>
          <w:p w14:paraId="06009B11"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 xml:space="preserve">2. </w:t>
            </w:r>
          </w:p>
        </w:tc>
        <w:tc>
          <w:tcPr>
            <w:tcW w:w="1310" w:type="dxa"/>
          </w:tcPr>
          <w:p w14:paraId="6049892E"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 xml:space="preserve">Număr conținuturi,  caracter, limbă </w:t>
            </w:r>
          </w:p>
        </w:tc>
        <w:tc>
          <w:tcPr>
            <w:tcW w:w="4291" w:type="dxa"/>
          </w:tcPr>
          <w:p w14:paraId="002097C9"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 măsoară numărul conținuturilor electorale, caracterul conflictual/neconflictual, precum și limba în care sunt realizate acestea. Numărul de conținuturi este relevant pentru a determina gradul de acoperire mediatică a alegerilor de către FSM monitorizat. </w:t>
            </w:r>
          </w:p>
          <w:p w14:paraId="7D6BA6F9"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Indicarea caracterului conflictual/neconflictual al conținuturilor este importantă, date fiind rigorile mai mari față de conținuturile conflictuale și, deci, necesitatea de a stabili, ulterior, dacă respectivele rigori au fost respectate. Un subiect/program cu caracter conflictual obligă autorul/FSM să prezinte echilibrat opinia/poziția tuturor părților aflate în conflict. Dacă nu – e derogare de la lege. </w:t>
            </w:r>
            <w:r w:rsidRPr="009C2138">
              <w:rPr>
                <w:rFonts w:ascii="Times New Roman" w:hAnsi="Times New Roman" w:cs="Times New Roman"/>
                <w:color w:val="000000" w:themeColor="text1"/>
              </w:rPr>
              <w:lastRenderedPageBreak/>
              <w:t xml:space="preserve">Într-un subiect/program cu caracter neconflictual, e bine să fie prezente mai multe surse de informație, dar deseori – nu are rost și, deci, nu poate fi o obligație legală. </w:t>
            </w:r>
          </w:p>
          <w:p w14:paraId="25F19E10"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Limba de realizare a conținuturilor electorale este relevantă pentru a determina proporția acestora într-o limbă ori alta, precum și corespunderea proporției respective cu angajamentele  din Declarație.</w:t>
            </w:r>
          </w:p>
          <w:p w14:paraId="41499A90"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 în Fișă fiecare subiect/program monitorizat este notat cu cifra ”1”, pentru a facilita contabilizarea acestora. Rezultatul poate indica, dacă FSM a reflectat adecvat alegerile sau doar a mimat reflectarea. </w:t>
            </w:r>
          </w:p>
          <w:p w14:paraId="3FBB5C7B"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În Fișă este indicat caracterul conflictual/neconflictual al subiectului/programului. Contabilizarea și analiza datelor poate indica raportul dinte numărul conținuturilor respective, precum și corectitudinea/incorectitudinea realizării  subiectelor/programelor cu caracter conflictual. </w:t>
            </w:r>
          </w:p>
          <w:p w14:paraId="11D7B02E"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În Fișă este indicată limba în care este realizat subiectul/programul monitorizat. Contabilizarea și analiza datelor poate indica raportul dinte numărul conținuturilor realizate într-o limbă ori alta, și dacă este îndreptățită limba conținuturilor, având în vedere publicul-țintă al FSM, dar și tipul alegerilor sau politica editorială a FSM, inclusiv în alegeri. </w:t>
            </w:r>
          </w:p>
          <w:p w14:paraId="1A8E91DB" w14:textId="77777777" w:rsidR="00102E3C" w:rsidRPr="009C2138" w:rsidRDefault="00102E3C" w:rsidP="0025638B">
            <w:pPr>
              <w:spacing w:line="240" w:lineRule="auto"/>
              <w:jc w:val="both"/>
              <w:rPr>
                <w:rFonts w:ascii="Times New Roman" w:hAnsi="Times New Roman" w:cs="Times New Roman"/>
                <w:color w:val="000000" w:themeColor="text1"/>
              </w:rPr>
            </w:pPr>
            <w:r w:rsidRPr="00FD1845">
              <w:rPr>
                <w:rFonts w:ascii="Times New Roman" w:hAnsi="Times New Roman" w:cs="Times New Roman"/>
                <w:color w:val="000000" w:themeColor="text1"/>
              </w:rPr>
              <w:t>Analiza comparată între FSM poate genera date relevante despre cine și cum respectă legea.</w:t>
            </w:r>
            <w:r w:rsidRPr="009C2138">
              <w:rPr>
                <w:rFonts w:ascii="Times New Roman" w:hAnsi="Times New Roman" w:cs="Times New Roman"/>
                <w:color w:val="000000" w:themeColor="text1"/>
              </w:rPr>
              <w:t xml:space="preserve"> Cazurile cu derogări de la lege,  cu exemplificări în calitate de argumente, trebuie să se regăsească în raportul de monitorizare. </w:t>
            </w:r>
          </w:p>
        </w:tc>
        <w:tc>
          <w:tcPr>
            <w:tcW w:w="2428" w:type="dxa"/>
          </w:tcPr>
          <w:p w14:paraId="6A7E3A6D"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lastRenderedPageBreak/>
              <w:t>Caracter conflictual/neconflictual; limbă română/rusă/alta</w:t>
            </w:r>
          </w:p>
        </w:tc>
        <w:tc>
          <w:tcPr>
            <w:tcW w:w="1077" w:type="dxa"/>
          </w:tcPr>
          <w:p w14:paraId="07944676"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1/cc/cnc; ro/ru/al</w:t>
            </w:r>
          </w:p>
        </w:tc>
      </w:tr>
      <w:tr w:rsidR="00102E3C" w:rsidRPr="009C2138" w14:paraId="79BE9050" w14:textId="77777777" w:rsidTr="006D0D9B">
        <w:tc>
          <w:tcPr>
            <w:tcW w:w="528" w:type="dxa"/>
          </w:tcPr>
          <w:p w14:paraId="1C89547D"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 xml:space="preserve">3. </w:t>
            </w:r>
          </w:p>
        </w:tc>
        <w:tc>
          <w:tcPr>
            <w:tcW w:w="1310" w:type="dxa"/>
          </w:tcPr>
          <w:p w14:paraId="5B7B005F"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 xml:space="preserve">Temă </w:t>
            </w:r>
          </w:p>
        </w:tc>
        <w:tc>
          <w:tcPr>
            <w:tcW w:w="4291" w:type="dxa"/>
          </w:tcPr>
          <w:p w14:paraId="18CA28DC"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 măsoară relevanța/irelevanța temelor electorale reflectate. Sunt teme de interes public/de interes social general și sunt teme mărunte, fără relevanță în alegeri. Exemplu: un concurent electoral organizează evenimente publice zilnice, dar nu toate sunt de interes general. FSM ar trebui să le reflecte doar pe cele relevante, pentru că nu-i obligat să reflecte toate evenimentele electorale. O analiză a temelor poate arăta, dacă FSM selectează evenimentele electorale de interes general sau, dimpotrivă, le ocolește intenționat și dă preferință evenimentelor fără relevanță. </w:t>
            </w:r>
            <w:r w:rsidRPr="00FD1845">
              <w:rPr>
                <w:rFonts w:ascii="Times New Roman" w:hAnsi="Times New Roman" w:cs="Times New Roman"/>
                <w:color w:val="000000" w:themeColor="text1"/>
              </w:rPr>
              <w:t>O analiză comparată a temelor abordate</w:t>
            </w:r>
            <w:r w:rsidRPr="009C2138">
              <w:rPr>
                <w:rFonts w:ascii="Times New Roman" w:hAnsi="Times New Roman" w:cs="Times New Roman"/>
                <w:color w:val="000000" w:themeColor="text1"/>
              </w:rPr>
              <w:t xml:space="preserve"> de FSM monitorizați poate indica cine reflectă adecvat și cu bună credință procesul electoral </w:t>
            </w:r>
            <w:r w:rsidRPr="009C2138">
              <w:rPr>
                <w:rFonts w:ascii="Times New Roman" w:hAnsi="Times New Roman" w:cs="Times New Roman"/>
                <w:color w:val="000000" w:themeColor="text1"/>
              </w:rPr>
              <w:lastRenderedPageBreak/>
              <w:t xml:space="preserve">și cine reflectă formal sau chiar cu rea-credință. S-ar părea, FSM nu poate fi sancționat pentru alegerea temelor, dar principiul echilibrului, prevăzut la pct. 5. sbp. 2) din Regulamentul CEC obligă FSM să informeze în mod egal </w:t>
            </w:r>
            <w:r w:rsidRPr="009C2138">
              <w:rPr>
                <w:rFonts w:ascii="Times New Roman" w:hAnsi="Times New Roman" w:cs="Times New Roman"/>
                <w:bCs/>
                <w:color w:val="000000" w:themeColor="text1"/>
              </w:rPr>
              <w:t>despre toate evenimentele electorale publice</w:t>
            </w:r>
            <w:r w:rsidRPr="009C2138">
              <w:rPr>
                <w:rFonts w:ascii="Times New Roman" w:hAnsi="Times New Roman" w:cs="Times New Roman"/>
                <w:b/>
                <w:bCs/>
                <w:color w:val="000000" w:themeColor="text1"/>
              </w:rPr>
              <w:t xml:space="preserve"> relevante</w:t>
            </w:r>
            <w:r w:rsidRPr="009C2138">
              <w:rPr>
                <w:rFonts w:ascii="Times New Roman" w:hAnsi="Times New Roman" w:cs="Times New Roman"/>
                <w:color w:val="000000" w:themeColor="text1"/>
              </w:rPr>
              <w:t>.</w:t>
            </w:r>
          </w:p>
          <w:p w14:paraId="1E8E4C6D"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 În Fișă este indicat dacă tema-i relevantă/irelevantă. În cazul temelor irelevante sunt necesare argumentări corespunzătoare și concluzii care trebuie să se regăsească în raportul de monitorizate.  </w:t>
            </w:r>
          </w:p>
        </w:tc>
        <w:tc>
          <w:tcPr>
            <w:tcW w:w="2428" w:type="dxa"/>
          </w:tcPr>
          <w:p w14:paraId="5416B688"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lastRenderedPageBreak/>
              <w:t>Relevantă/irelevantă pentru alegeri</w:t>
            </w:r>
          </w:p>
        </w:tc>
        <w:tc>
          <w:tcPr>
            <w:tcW w:w="1077" w:type="dxa"/>
          </w:tcPr>
          <w:p w14:paraId="06655D72"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rl/irl</w:t>
            </w:r>
          </w:p>
        </w:tc>
      </w:tr>
      <w:tr w:rsidR="00102E3C" w:rsidRPr="009C2138" w14:paraId="3BB494A1" w14:textId="77777777" w:rsidTr="006D0D9B">
        <w:tc>
          <w:tcPr>
            <w:tcW w:w="528" w:type="dxa"/>
          </w:tcPr>
          <w:p w14:paraId="1EB34C38"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 xml:space="preserve">4. </w:t>
            </w:r>
          </w:p>
        </w:tc>
        <w:tc>
          <w:tcPr>
            <w:tcW w:w="1310" w:type="dxa"/>
          </w:tcPr>
          <w:p w14:paraId="5F7FBD42"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 xml:space="preserve">Durata </w:t>
            </w:r>
          </w:p>
        </w:tc>
        <w:tc>
          <w:tcPr>
            <w:tcW w:w="4291" w:type="dxa"/>
          </w:tcPr>
          <w:p w14:paraId="428C80AA"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 măsoară durata timpului de emisie alocat pentru subiecte/programele cu caracter electoral. Durata poate fi dezagregată, bunăoară, în: durata știrilor cu/despre concurenți; durata știrilor de la/despre CEC/organe electorale; durata celorlalte programe, inclusiv a dezbaterilor; durata publicității electorale contra plată/gratuite etc. Durata fiecărui subiect cu participarea concurenților electorali poate indica, dacă sunt respectate principiile echității, echilibrului și imparțialității, precum și dacă sunt respectate angajamentele din Declarație. Dacă, de exemplu, un FSM s-a angajat în știri să realizeze fiecare subiect cu/despre concurenții electorali de 2 min., iar rezultatele monitorizării arată că, de fapt, durata fie că-i mai mică sau mai mare cu 5-10 secunde, probabil, n-ar trebui să considerăm că și-a încălcat propriul angajament. Încălcarea duratei trebuie să fie vădită, pentru a o considera încălcare atunci când subiectele ce-l vizează pe un anumit concurent, de fiecare dată sunt mai lungi sau, dimpotrivă, mai scurte. În asemenea caz se poate întrevedea o abordare părtinitoare. În schimb, durata dezbaterilor electorale, de exemplu, și a publicității electorale, poate indica exact dacă este sau nu respectată legea.  </w:t>
            </w:r>
          </w:p>
          <w:p w14:paraId="2330E4FB"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 în Fișă este indicată durata fiecărui subiect/program. Contabilizarea și analiza datelor obținute pot arăta respectarea sau nerespectarea legii și Declarației. Cazurile de încălcare a legii/Declarației, trebuie să se regăsească în raport. Durata trebuie  exprimată cum e mai comod de perceput – secunde, minute sau ore. </w:t>
            </w:r>
          </w:p>
        </w:tc>
        <w:tc>
          <w:tcPr>
            <w:tcW w:w="2428" w:type="dxa"/>
          </w:tcPr>
          <w:p w14:paraId="25CD4841"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Minute / secunde</w:t>
            </w:r>
          </w:p>
        </w:tc>
        <w:tc>
          <w:tcPr>
            <w:tcW w:w="1077" w:type="dxa"/>
          </w:tcPr>
          <w:p w14:paraId="4F599BA3"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min/sec</w:t>
            </w:r>
          </w:p>
        </w:tc>
      </w:tr>
      <w:tr w:rsidR="00102E3C" w:rsidRPr="009C2138" w14:paraId="7C3D25DD" w14:textId="77777777" w:rsidTr="006D0D9B">
        <w:tc>
          <w:tcPr>
            <w:tcW w:w="528" w:type="dxa"/>
          </w:tcPr>
          <w:p w14:paraId="19B6CB38"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5.</w:t>
            </w:r>
          </w:p>
        </w:tc>
        <w:tc>
          <w:tcPr>
            <w:tcW w:w="1310" w:type="dxa"/>
          </w:tcPr>
          <w:p w14:paraId="149ED7F2"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 xml:space="preserve">Protagoniști </w:t>
            </w:r>
          </w:p>
          <w:p w14:paraId="2CCF2606" w14:textId="77777777" w:rsidR="00102E3C" w:rsidRPr="009C2138" w:rsidRDefault="00102E3C" w:rsidP="0025638B">
            <w:pPr>
              <w:spacing w:line="240" w:lineRule="auto"/>
              <w:jc w:val="both"/>
              <w:rPr>
                <w:rFonts w:ascii="Times New Roman" w:hAnsi="Times New Roman" w:cs="Times New Roman"/>
                <w:b/>
                <w:color w:val="000000" w:themeColor="text1"/>
              </w:rPr>
            </w:pPr>
          </w:p>
        </w:tc>
        <w:tc>
          <w:tcPr>
            <w:tcW w:w="4291" w:type="dxa"/>
          </w:tcPr>
          <w:p w14:paraId="21F2761E"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 măsoară numărul de protagoniști din patru categorii în subiecte/programe electorale, cu excepția publicității electorale: organ electoral; organ de stat; concurent </w:t>
            </w:r>
            <w:r w:rsidRPr="009C2138">
              <w:rPr>
                <w:rFonts w:ascii="Times New Roman" w:hAnsi="Times New Roman" w:cs="Times New Roman"/>
                <w:color w:val="000000" w:themeColor="text1"/>
              </w:rPr>
              <w:lastRenderedPageBreak/>
              <w:t>electoral/participant la referendum; expert independent; cetățean de rând.</w:t>
            </w:r>
          </w:p>
          <w:p w14:paraId="6DAA30BE"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Dintre categoriile de protagoniști două merită atenție specială: organele de stat/reprezentanții acestora (art. 16. Cod electoral) și concurenții electorali/participanții la referendum, pentru care există rigori juridice suplimentare. Aceste două categorii necesită a fi monitorizate îndeaproape, pentru a putea determina respectarea/nerespectarea rigorilor juridice. Celelalte categorii, deși importante pentru o reflectare mai bună a alegerilor, au relevanță relativă din perspectiva respectării legii. Prezența frecventă a organelor de stat în știri/programe electorale, prezența frecventă a unor concurenți electorali și lipsa totală a altora, precum și prezența frecventă a acelorași experți, poate indica derapaje pasibile de sancționare. </w:t>
            </w:r>
          </w:p>
          <w:p w14:paraId="351CCCAE"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în Fișă este indicat numele fiecărui protagonist și categoria din care face parte; analiza datelor trebuie să indice ce categorie și cine dintre protagoniști au avut cea mai frecventă mediatizate și în ce măsură respectiva mediatizare a fost îndreptățită; datele comparate pot scoate în evidență abordarea protagoniștilor de către FSM; rezultatele analizei trebuie să se regăsească în raportul de monitorizare.</w:t>
            </w:r>
          </w:p>
        </w:tc>
        <w:tc>
          <w:tcPr>
            <w:tcW w:w="2428" w:type="dxa"/>
          </w:tcPr>
          <w:p w14:paraId="2CE4F92B"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lastRenderedPageBreak/>
              <w:t xml:space="preserve">organ electoral sau reprezentant / organ de stat sau reprezentant / concurent electoral sau participant referendum/ </w:t>
            </w:r>
            <w:r w:rsidRPr="009C2138">
              <w:rPr>
                <w:rFonts w:ascii="Times New Roman" w:hAnsi="Times New Roman" w:cs="Times New Roman"/>
                <w:color w:val="000000" w:themeColor="text1"/>
              </w:rPr>
              <w:lastRenderedPageBreak/>
              <w:t>expert independent / cetățean de rând</w:t>
            </w:r>
          </w:p>
        </w:tc>
        <w:tc>
          <w:tcPr>
            <w:tcW w:w="1077" w:type="dxa"/>
          </w:tcPr>
          <w:p w14:paraId="6737A4CF"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lastRenderedPageBreak/>
              <w:t>oe/os/</w:t>
            </w:r>
          </w:p>
          <w:p w14:paraId="5CBA9042"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cel/e/cr</w:t>
            </w:r>
          </w:p>
        </w:tc>
      </w:tr>
      <w:tr w:rsidR="00102E3C" w:rsidRPr="009C2138" w14:paraId="45D18705" w14:textId="77777777" w:rsidTr="006D0D9B">
        <w:tc>
          <w:tcPr>
            <w:tcW w:w="528" w:type="dxa"/>
          </w:tcPr>
          <w:p w14:paraId="50E29315"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 xml:space="preserve">6. </w:t>
            </w:r>
          </w:p>
        </w:tc>
        <w:tc>
          <w:tcPr>
            <w:tcW w:w="1310" w:type="dxa"/>
          </w:tcPr>
          <w:p w14:paraId="1F3179F4"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b/>
                <w:color w:val="000000" w:themeColor="text1"/>
              </w:rPr>
              <w:t>Echilibru de gen</w:t>
            </w:r>
            <w:r w:rsidRPr="009C2138">
              <w:rPr>
                <w:rFonts w:ascii="Times New Roman" w:hAnsi="Times New Roman" w:cs="Times New Roman"/>
                <w:color w:val="000000" w:themeColor="text1"/>
              </w:rPr>
              <w:t xml:space="preserve"> </w:t>
            </w:r>
          </w:p>
          <w:p w14:paraId="482039A4" w14:textId="77777777" w:rsidR="00102E3C" w:rsidRPr="009C2138" w:rsidRDefault="00102E3C" w:rsidP="0025638B">
            <w:pPr>
              <w:spacing w:line="240" w:lineRule="auto"/>
              <w:jc w:val="both"/>
              <w:rPr>
                <w:rFonts w:ascii="Times New Roman" w:hAnsi="Times New Roman" w:cs="Times New Roman"/>
                <w:color w:val="000000" w:themeColor="text1"/>
              </w:rPr>
            </w:pPr>
          </w:p>
          <w:p w14:paraId="175024AB" w14:textId="77777777" w:rsidR="00102E3C" w:rsidRPr="009C2138" w:rsidRDefault="00102E3C" w:rsidP="0025638B">
            <w:pPr>
              <w:spacing w:line="240" w:lineRule="auto"/>
              <w:jc w:val="both"/>
              <w:rPr>
                <w:rFonts w:ascii="Times New Roman" w:hAnsi="Times New Roman" w:cs="Times New Roman"/>
                <w:b/>
                <w:i/>
                <w:iCs/>
                <w:color w:val="000000" w:themeColor="text1"/>
              </w:rPr>
            </w:pPr>
            <w:r w:rsidRPr="009C2138">
              <w:rPr>
                <w:rFonts w:ascii="Times New Roman" w:hAnsi="Times New Roman" w:cs="Times New Roman"/>
                <w:i/>
                <w:iCs/>
                <w:color w:val="000000" w:themeColor="text1"/>
              </w:rPr>
              <w:t xml:space="preserve">Pct. </w:t>
            </w:r>
            <w:r w:rsidRPr="009C2138">
              <w:rPr>
                <w:rFonts w:ascii="Times New Roman" w:hAnsi="Times New Roman" w:cs="Times New Roman"/>
                <w:bCs/>
                <w:i/>
                <w:iCs/>
                <w:color w:val="000000" w:themeColor="text1"/>
              </w:rPr>
              <w:t xml:space="preserve">42. din Regulamentul CEC precizează că promovarea jurnalismului sensibil la gen semnifică asigurarea unei reprezentări egale a femeilor și bărbaților ca surse de informație, ca opinii, ca expertiză și, unde e posibil, ca și competitori </w:t>
            </w:r>
            <w:r w:rsidRPr="009C2138">
              <w:rPr>
                <w:rFonts w:ascii="Times New Roman" w:hAnsi="Times New Roman" w:cs="Times New Roman"/>
                <w:bCs/>
                <w:i/>
                <w:iCs/>
                <w:color w:val="000000" w:themeColor="text1"/>
              </w:rPr>
              <w:lastRenderedPageBreak/>
              <w:t>sau concurenți electorali.</w:t>
            </w:r>
          </w:p>
        </w:tc>
        <w:tc>
          <w:tcPr>
            <w:tcW w:w="4291" w:type="dxa"/>
          </w:tcPr>
          <w:p w14:paraId="789B70A9"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lastRenderedPageBreak/>
              <w:t xml:space="preserve">- măsoară frecvența apariției în știri/programe electorale a protagoniștilor bărbați/femei. </w:t>
            </w:r>
            <w:r w:rsidRPr="009C2138">
              <w:rPr>
                <w:rFonts w:ascii="Times New Roman" w:hAnsi="Times New Roman" w:cs="Times New Roman"/>
                <w:bCs/>
                <w:color w:val="000000" w:themeColor="text1"/>
              </w:rPr>
              <w:t>Prin urmare, dacă în perioada de monitorizare în programele cu caracter electoral protagonistele au reprezentat doar femei din categoria cetățenilor de rând, nu putem vorbi de echilibru de gen, pentru că protagonistele ar fi putut reprezenta și categoria de experți. Pe de altă parte, dacă într-o dezbatere electorală participanții, prin tragere la sorți sau în ordinea înregistrării, sunt doar bărbați, nu trebuie să învinuim FSM că n-a asigurat echilibrul de gen.</w:t>
            </w:r>
          </w:p>
          <w:p w14:paraId="7E3DFA9A"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 în Fișă este indicat genul protagonistului. Contabilizarea datelor arată numărul protagoniștilor și protagonistelor împreună și pe categorii separat. Analiza deduce raportul procentual femei/bărbați în general și pe categorii. Din calcule/analiză sunt scoase subiectele/programele în care, în mod obiectiv nu poate fi asigurat echilibrul de gen. Analiza indică situația generală și situația pe categorii de protagoniști. Analiza comparată poate scoate în evidență cine dintre FSM practică un jurnalism sensibil la </w:t>
            </w:r>
            <w:r w:rsidRPr="009C2138">
              <w:rPr>
                <w:rFonts w:ascii="Times New Roman" w:hAnsi="Times New Roman" w:cs="Times New Roman"/>
                <w:color w:val="000000" w:themeColor="text1"/>
              </w:rPr>
              <w:lastRenderedPageBreak/>
              <w:t xml:space="preserve">gen și cine nu. Rezultatele relevante trebuie să se regăsească în raportul de monitorizare.    </w:t>
            </w:r>
          </w:p>
        </w:tc>
        <w:tc>
          <w:tcPr>
            <w:tcW w:w="2428" w:type="dxa"/>
          </w:tcPr>
          <w:p w14:paraId="2AC3E5D9"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lastRenderedPageBreak/>
              <w:t>Femeie/bărbat</w:t>
            </w:r>
          </w:p>
        </w:tc>
        <w:tc>
          <w:tcPr>
            <w:tcW w:w="1077" w:type="dxa"/>
          </w:tcPr>
          <w:p w14:paraId="38559212"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f/b</w:t>
            </w:r>
          </w:p>
        </w:tc>
      </w:tr>
      <w:tr w:rsidR="00102E3C" w:rsidRPr="009C2138" w14:paraId="32112AE0" w14:textId="77777777" w:rsidTr="006D0D9B">
        <w:tc>
          <w:tcPr>
            <w:tcW w:w="528" w:type="dxa"/>
          </w:tcPr>
          <w:p w14:paraId="1235936D"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7.</w:t>
            </w:r>
          </w:p>
        </w:tc>
        <w:tc>
          <w:tcPr>
            <w:tcW w:w="1310" w:type="dxa"/>
          </w:tcPr>
          <w:p w14:paraId="2C657073"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Intervenție protagoniști</w:t>
            </w:r>
          </w:p>
        </w:tc>
        <w:tc>
          <w:tcPr>
            <w:tcW w:w="4291" w:type="dxa"/>
          </w:tcPr>
          <w:p w14:paraId="4A97B9ED"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 măsoară durata de timp în care protagonistul din </w:t>
            </w:r>
            <w:r w:rsidRPr="009C2138">
              <w:rPr>
                <w:rFonts w:ascii="Times New Roman" w:hAnsi="Times New Roman" w:cs="Times New Roman"/>
                <w:b/>
                <w:color w:val="000000" w:themeColor="text1"/>
              </w:rPr>
              <w:t>categoria ”concurent electoral/participant la referendum”</w:t>
            </w:r>
            <w:r w:rsidRPr="009C2138">
              <w:rPr>
                <w:rFonts w:ascii="Times New Roman" w:hAnsi="Times New Roman" w:cs="Times New Roman"/>
                <w:color w:val="000000" w:themeColor="text1"/>
              </w:rPr>
              <w:t xml:space="preserve"> vorbește (la radio), vorbește și apare în imagine (la tv) – intervenție directă, sau durata de timp în care se vorbește despre protagonist – intervenție indirectă. În mod normal, durata intervențiilor directe/indirecte ar trebui să fie aproximativ egală pentru toți protagoniștii, în special, în știri și dezbateri electorale și, mai ales, în subiectele cu caracter conflictual, unde trebuie să fie reprezentate, cam în egală măsură ca durată și ca intervenție, toate opiniile divergente. În caz contrar apare suspiciunea de părtinire care, după monitorizarea întregii perioade, s-ar putea să se adeverească. În același timp, de luat în calcul, că nu întotdeauna unei intervenții directe îi poți contrapune altă intervenție directă. Oricum, dacă este un subiect conflictual, cu intervenția directă a unui protagonist, și nu poate fi obținută intervenția directă a protagonistului vizat, FSM trebuie să asigure intervenția indirectă a acestuia, adică, să amintească poziția protagonistului, dacă este cunoscută. Asemenea soluție nu ar trebui să fie calificată drept încălcare a normelor. Încălcare e atunci, când FSM n-a depus efort să echilibreze subiectul conflictual și a ignorat opinia/poziția protagonistului vizat, dar de la care nu a putut obține o intervenție directă cam de aceeași durată. </w:t>
            </w:r>
          </w:p>
          <w:p w14:paraId="39C4A43F"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În talk-show-uri, emisiuni de autor, emisiuni de arhivă, investigații jurnalistice, emisiuni de satiră etc., durata intervențiilor protagoniștilor nu este la fel de relevantă ca în știri și dezbateri și, deci, acest criteriu pentru programe de acest gen, fie că nu trebuie utilizat, fie că nu trebuie utilizat atât de rigid. Dar și în subiectele/programele pentru care durata este relevantă, ea, durata nu neapărat să fie exactă la toți, ca să se considere că regula a fost respectată. O marjă rezonabilă de câteva secunde ar trebui să existe, pentru a nu îngreuna perceperea mesajului prin exces de zel.  </w:t>
            </w:r>
          </w:p>
          <w:p w14:paraId="47DDD4FC"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 în Fișă este indicată durata intervențiilor directe/indirecte ale fiecărui protagonist. Contabilizarea și analiza datelor obținute trebuie să releve abordarea corectă/incorectă a FSM. Analiza poate stabili dacă FSM </w:t>
            </w:r>
            <w:r w:rsidRPr="009C2138">
              <w:rPr>
                <w:rFonts w:ascii="Times New Roman" w:hAnsi="Times New Roman" w:cs="Times New Roman"/>
                <w:color w:val="000000" w:themeColor="text1"/>
              </w:rPr>
              <w:lastRenderedPageBreak/>
              <w:t xml:space="preserve">favorizează/defavorizează  anumiți concurenți electorali/participanți la referendum. Analiza comparată poate scoate în evidență cine dintre FSM a acționat corect și cine – dimpotrivă. Rezultatele analizei și, în special, cazurile ce relevă dezechilibre vădite, trebuie să intre în raportul de monitorizare.  </w:t>
            </w:r>
          </w:p>
        </w:tc>
        <w:tc>
          <w:tcPr>
            <w:tcW w:w="2428" w:type="dxa"/>
          </w:tcPr>
          <w:p w14:paraId="2440A80E"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lastRenderedPageBreak/>
              <w:t>Intervenție directă / indirectă</w:t>
            </w:r>
          </w:p>
        </w:tc>
        <w:tc>
          <w:tcPr>
            <w:tcW w:w="1077" w:type="dxa"/>
          </w:tcPr>
          <w:p w14:paraId="5F7BF920"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id/ind</w:t>
            </w:r>
          </w:p>
        </w:tc>
      </w:tr>
      <w:tr w:rsidR="00102E3C" w:rsidRPr="009C2138" w14:paraId="3D6B0054" w14:textId="77777777" w:rsidTr="006D0D9B">
        <w:tc>
          <w:tcPr>
            <w:tcW w:w="528" w:type="dxa"/>
          </w:tcPr>
          <w:p w14:paraId="57A69C94"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8.</w:t>
            </w:r>
          </w:p>
        </w:tc>
        <w:tc>
          <w:tcPr>
            <w:tcW w:w="1310" w:type="dxa"/>
          </w:tcPr>
          <w:p w14:paraId="2DD1C55D"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 xml:space="preserve">Atitudine autor </w:t>
            </w:r>
          </w:p>
        </w:tc>
        <w:tc>
          <w:tcPr>
            <w:tcW w:w="4291" w:type="dxa"/>
          </w:tcPr>
          <w:p w14:paraId="638D5454"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măsoară imparțialitatea/părtinirea autorului care, după caz, poate fi reporter, prezentator, moderator. Regula generală: jurnalistul trebuie să fie corect, neutru, imparțial. Aceasta nu înseamnă, că trebuie să fie ”cuminte”. Mai degrabă, iscoditor și atent în ce se întâmplă în cadrul emisiunii. Reporterul și/sau prezentatorul de știri nu trebuie să-și impună opinia, sau să ia partea cuiva – el lasă să tragă concluzii beneficiarul de informații. Pentru prestația moderatorului de dezbateri electorale sunt rigori suplimentare, prevăzute de Codul electoral și de Regulamentul CEC. Emisiunile de autor, comentariile, foiletoanele, satira etc., sunt locul unde jurnalistul/autorul își spune opiniile (că are dreptul), doar că ceea ce afirmă, să aibă substrat factologic, să nu admită limbaj de ură, discriminare, violență, dezinformare etc., adică ceea ce interzice legea. Prin urmare, în fiecare caz concret, în funcție de tipul conținutului cu caracter electoral, aplicăm sau nu aplicăm acest criteriu.</w:t>
            </w:r>
          </w:p>
          <w:p w14:paraId="3FE908A9"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 în Fișă indicăm calificativul imparțial/părtinitor. Dacă-i relevant, putem indica și numele celui monitorizat. Analiza prestației autorului/jurnalistului trebuie să scoată în evidență, mai ales, cazurile de atitudine părtinitoare, pentru că-i o încălcare gravă. Analiza poate reliefa și pe cine favorizează/defavorizează FSM. În special cazurile reprobabile trebuie incluse în raportul de monitorizare. </w:t>
            </w:r>
          </w:p>
        </w:tc>
        <w:tc>
          <w:tcPr>
            <w:tcW w:w="2428" w:type="dxa"/>
          </w:tcPr>
          <w:p w14:paraId="69FE15AE"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Părtinitoare / nepărtinitoare</w:t>
            </w:r>
          </w:p>
        </w:tc>
        <w:tc>
          <w:tcPr>
            <w:tcW w:w="1077" w:type="dxa"/>
          </w:tcPr>
          <w:p w14:paraId="5392AFB1"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p/np</w:t>
            </w:r>
          </w:p>
        </w:tc>
      </w:tr>
      <w:tr w:rsidR="00102E3C" w:rsidRPr="009C2138" w14:paraId="43CB87DE" w14:textId="77777777" w:rsidTr="006D0D9B">
        <w:tc>
          <w:tcPr>
            <w:tcW w:w="528" w:type="dxa"/>
          </w:tcPr>
          <w:p w14:paraId="4CF866FD"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9.</w:t>
            </w:r>
          </w:p>
        </w:tc>
        <w:tc>
          <w:tcPr>
            <w:tcW w:w="1310" w:type="dxa"/>
          </w:tcPr>
          <w:p w14:paraId="7093D4E5"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 xml:space="preserve">Calitatea jurnalistică generală a conținutului </w:t>
            </w:r>
          </w:p>
        </w:tc>
        <w:tc>
          <w:tcPr>
            <w:tcW w:w="4291" w:type="dxa"/>
          </w:tcPr>
          <w:p w14:paraId="725B3EFD"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 măsoară calitatea jurnalistică a conținutului, pe criteriul de respectare/nerespectare a normelor juridice. În acest sens, orice conținut care încalcă normele legale poate fi doar inacceptabil și atenția trebuie să fie centrată pe aceste conținuturi. Conținuturile cu bâlbe, exprimare stângace, anumite incoerențe, generate de neatenție sau lipsă de experiență etc., sunt calificate generic drept acceptabile, de rând cu cele ireproșabile. Prioritate, în cazul dat, are respectarea legii.  </w:t>
            </w:r>
          </w:p>
          <w:p w14:paraId="318C5C08"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 în Fișă este indicat calificativul acceptabil/inacceptabil pentru fiecare </w:t>
            </w:r>
            <w:r w:rsidRPr="009C2138">
              <w:rPr>
                <w:rFonts w:ascii="Times New Roman" w:hAnsi="Times New Roman" w:cs="Times New Roman"/>
                <w:color w:val="000000" w:themeColor="text1"/>
              </w:rPr>
              <w:lastRenderedPageBreak/>
              <w:t>subiect/program. Contabilizarea și analiza datelor poate scoate în evidență, după caz, câte conținuturi inacceptabile a difuzat FSM în raport, de exemplu, cu numărul total de conținuturi monitorizate, iar datele comparate pot releva un top al corectitudinii/incorectitudinii FSM monitorizați.  Rezultatele analizei trebuie să intre în raportul de monitorizare.</w:t>
            </w:r>
          </w:p>
        </w:tc>
        <w:tc>
          <w:tcPr>
            <w:tcW w:w="2428" w:type="dxa"/>
          </w:tcPr>
          <w:p w14:paraId="70B37CF0"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lastRenderedPageBreak/>
              <w:t>Acceptabilă / inacceptabilă</w:t>
            </w:r>
          </w:p>
        </w:tc>
        <w:tc>
          <w:tcPr>
            <w:tcW w:w="1077" w:type="dxa"/>
          </w:tcPr>
          <w:p w14:paraId="30CD01D1"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ac/iac</w:t>
            </w:r>
          </w:p>
        </w:tc>
      </w:tr>
      <w:tr w:rsidR="00102E3C" w:rsidRPr="009C2138" w14:paraId="00BB9DC8" w14:textId="77777777" w:rsidTr="006D0D9B">
        <w:tc>
          <w:tcPr>
            <w:tcW w:w="528" w:type="dxa"/>
          </w:tcPr>
          <w:p w14:paraId="72281A6D"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10.</w:t>
            </w:r>
          </w:p>
        </w:tc>
        <w:tc>
          <w:tcPr>
            <w:tcW w:w="1310" w:type="dxa"/>
          </w:tcPr>
          <w:p w14:paraId="078AAC15"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 xml:space="preserve">Genericul </w:t>
            </w:r>
          </w:p>
        </w:tc>
        <w:tc>
          <w:tcPr>
            <w:tcW w:w="4291" w:type="dxa"/>
          </w:tcPr>
          <w:p w14:paraId="6DF84511"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 măsoară prezența/lipsa genericului pentru conținuturile cu caracter electoral. Este o obligație legală ca, de exemplu, în  </w:t>
            </w:r>
            <w:r w:rsidRPr="009C2138">
              <w:rPr>
                <w:rFonts w:ascii="Times New Roman" w:hAnsi="Times New Roman" w:cs="Times New Roman"/>
                <w:bCs/>
                <w:color w:val="000000" w:themeColor="text1"/>
              </w:rPr>
              <w:t>programele de știri și actualități, subiectele cu caracter electoral să fie incluse la rubrica specială „Electorala”, evidențiată prin semnale acustice sau vizuale unice la început și la final, iar emisiunile de informare electorală să fie evidențiate de alte programe prin semnale acustice sau vizuale unice cu mențiunea „Emisiune de informare electorală”, la început și la final (pct</w:t>
            </w:r>
            <w:r w:rsidRPr="009C2138">
              <w:rPr>
                <w:rFonts w:ascii="Times New Roman" w:hAnsi="Times New Roman" w:cs="Times New Roman"/>
                <w:color w:val="000000" w:themeColor="text1"/>
              </w:rPr>
              <w:t xml:space="preserve">. </w:t>
            </w:r>
            <w:r w:rsidRPr="009C2138">
              <w:rPr>
                <w:rFonts w:ascii="Times New Roman" w:hAnsi="Times New Roman" w:cs="Times New Roman"/>
                <w:bCs/>
                <w:color w:val="000000" w:themeColor="text1"/>
              </w:rPr>
              <w:t xml:space="preserve">38-39 din  Regulamentul CEC).  </w:t>
            </w:r>
          </w:p>
          <w:p w14:paraId="687E9A27"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 În Fișă este indicată prezența/lipsa genericului și, după caz, prezența/lipsa fie la începutul programului, fie la sfârșitul lui. Trebuie contabilizate, mai ales, cazurile în care lipsește rubrica. Analiza datelor trebuie să evidențieze frecvența încălcării legii, iar rezultatele – să fie reflectate în raportul de monitorizare. </w:t>
            </w:r>
          </w:p>
        </w:tc>
        <w:tc>
          <w:tcPr>
            <w:tcW w:w="2428" w:type="dxa"/>
          </w:tcPr>
          <w:p w14:paraId="5BECC978"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Prezență / lipsă</w:t>
            </w:r>
          </w:p>
        </w:tc>
        <w:tc>
          <w:tcPr>
            <w:tcW w:w="1077" w:type="dxa"/>
          </w:tcPr>
          <w:p w14:paraId="25F9F1BD"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pr/lp</w:t>
            </w:r>
          </w:p>
        </w:tc>
      </w:tr>
      <w:tr w:rsidR="00102E3C" w:rsidRPr="009C2138" w14:paraId="54F8496A" w14:textId="77777777" w:rsidTr="006D0D9B">
        <w:tc>
          <w:tcPr>
            <w:tcW w:w="528" w:type="dxa"/>
          </w:tcPr>
          <w:p w14:paraId="38A0A506"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11.</w:t>
            </w:r>
          </w:p>
        </w:tc>
        <w:tc>
          <w:tcPr>
            <w:tcW w:w="1310" w:type="dxa"/>
          </w:tcPr>
          <w:p w14:paraId="05E7A6D5"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 xml:space="preserve">Accesibilitate </w:t>
            </w:r>
          </w:p>
        </w:tc>
        <w:tc>
          <w:tcPr>
            <w:tcW w:w="4291" w:type="dxa"/>
          </w:tcPr>
          <w:p w14:paraId="22F7FB8B"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 măsoară accesul sau lipsa de acces al persoanelor </w:t>
            </w:r>
            <w:r w:rsidRPr="009C2138">
              <w:rPr>
                <w:rFonts w:ascii="Times New Roman" w:hAnsi="Times New Roman" w:cs="Times New Roman"/>
                <w:bCs/>
                <w:color w:val="000000" w:themeColor="text1"/>
              </w:rPr>
              <w:t>cu dizabilități de văz sau auz la, cel puțin, o ediție pe săptămână a rubricii speciale, inclusiv, dacă sunt respectate rigorile în asigurarea accesului (să fie identificabile prin avertizări verbale și afișări statice și lizibile pe ecran; în cazul interpretării simultane în limbaj mimico-gestual, redarea imaginii feței și a mâinilor persoanei care realizează interpretarea să fie în mărime de cel puțin 1/3 din ecran; în cazul titrării conținuturilor, titrele să fie de o mărime ușor lizibilă, să fie rulate în corespundere cu esența conținutului și imaginilor difuzate, să fie plasate deasupra titrelor mobile, burtierelor și/sau crawl-urilor).</w:t>
            </w:r>
          </w:p>
          <w:p w14:paraId="1E79C5E3"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 Respectivele persoane sunt alegători și, prin urmare, trebuie să li se ofere, cel puțin, un minim de informație electorală, pentru a se orienta în programele concurenților.</w:t>
            </w:r>
          </w:p>
          <w:p w14:paraId="40A94665"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xml:space="preserve">- în Fișă este indicat, dacă accesul a fost/n-a fost oferit. Analiza datelor trebuie să scoată în vileag cine și cum și-a onorat obligația; să se focuseze pe cazurile de încălcare a normei </w:t>
            </w:r>
            <w:r w:rsidRPr="009C2138">
              <w:rPr>
                <w:rFonts w:ascii="Times New Roman" w:hAnsi="Times New Roman" w:cs="Times New Roman"/>
                <w:color w:val="000000" w:themeColor="text1"/>
              </w:rPr>
              <w:lastRenderedPageBreak/>
              <w:t>legale, cazuri, care să intre în raportul de monitorizare,</w:t>
            </w:r>
          </w:p>
        </w:tc>
        <w:tc>
          <w:tcPr>
            <w:tcW w:w="2428" w:type="dxa"/>
          </w:tcPr>
          <w:p w14:paraId="38FE5B9F"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lastRenderedPageBreak/>
              <w:t xml:space="preserve">Accesibil / inaccesibil </w:t>
            </w:r>
          </w:p>
        </w:tc>
        <w:tc>
          <w:tcPr>
            <w:tcW w:w="1077" w:type="dxa"/>
          </w:tcPr>
          <w:p w14:paraId="110DAED1"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acc/ina</w:t>
            </w:r>
          </w:p>
        </w:tc>
      </w:tr>
      <w:tr w:rsidR="00102E3C" w:rsidRPr="009C2138" w14:paraId="2A384E4A" w14:textId="77777777" w:rsidTr="006D0D9B">
        <w:tc>
          <w:tcPr>
            <w:tcW w:w="528" w:type="dxa"/>
          </w:tcPr>
          <w:p w14:paraId="542537E8"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12.</w:t>
            </w:r>
          </w:p>
        </w:tc>
        <w:tc>
          <w:tcPr>
            <w:tcW w:w="1310" w:type="dxa"/>
          </w:tcPr>
          <w:p w14:paraId="32DE954D"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 xml:space="preserve">Reflectare sondaje </w:t>
            </w:r>
          </w:p>
        </w:tc>
        <w:tc>
          <w:tcPr>
            <w:tcW w:w="4291" w:type="dxa"/>
          </w:tcPr>
          <w:p w14:paraId="20127288"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măsoară corectitudinea subiectelor ce vizează rezultatele sondajelor despre preferințele de vot ale alegătorilor. FSM trebuie să respecte anumite reguli când comunică despre rezultatele sondajelor, dat fiind că ele, în alegeri, pot avea efecte manipulatorii. Pentru a diminua eventuale efecte de manipulare, FSM trebuie să prezinte rezultatele sondajelor ca atare, și nu ca fapt împlinit, să precizeze cine a făcut sondajul, la comanda cui, cine a plătit, dacă se cunoaște, perioada, geografia, eșantionul, metoda utilizată, marja de eroare, prezența/lipsa autorizării din partea CEC. Deși nu-i dificil să fie făcute toate precizările respective, puțin probabil, că un FSM, care, din neatenție nu a indicat, de exemplu, marja de eroare, merită să fie sancționat. Mai degrabă, sancțiunea trebuie să intervină în cazul, în care rezultatele sondajului sunt prezentate ca adevăr incontestabil, iar precizări importante, precum cine a realizat sau cine a plătit sondajul, sunt  omise cu regularitate sau de cele mai dese ori. Altfel spus, aplicarea indicatorului trebuie să fixeze prezența/lipsa manipulării cu intenție.</w:t>
            </w:r>
          </w:p>
          <w:p w14:paraId="7EC090C9"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În aplicarea indicatorului, atenție la data subiectului despre rezultatele sondajului. Legea dispune: c</w:t>
            </w:r>
            <w:r w:rsidRPr="009C2138">
              <w:rPr>
                <w:rFonts w:ascii="Times New Roman" w:hAnsi="Times New Roman" w:cs="Times New Roman"/>
                <w:bCs/>
                <w:color w:val="000000" w:themeColor="text1"/>
              </w:rPr>
              <w:t>u 2 zile înainte de ziua alegerilor este interzisă difuzarea subiectelor despre rezultatele sondajelor, inclusiv în reluare. În ziua/zilele scrutinului, până la ora 21.00 a zilei de duminică, este interzisă difuzarea informații despre rezultatele sondajelor, chestionării alegătorilor privind opțiunile electorale și/sau despre rezultatele exit-pollurilor, precum și interviuri despre numărul de voturi întrunite de concurenții electorali și/sau despre șansele acestora.</w:t>
            </w:r>
          </w:p>
          <w:p w14:paraId="3C7F76DD"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 în Fișă este indicat ”corect/parțial corect/incorect”. Contabilizarea și analiza datelor trebuie să se focuseze pe cazurile de reflectare incorectă, pentru a determina, dacă e vorba de o banală neatenție sau de intenție/rea-credință. Cazurile de acțiuni incorecte, admise intenționat, trebuie să se regăsească în raportul de monitorizare.</w:t>
            </w:r>
          </w:p>
        </w:tc>
        <w:tc>
          <w:tcPr>
            <w:tcW w:w="2428" w:type="dxa"/>
          </w:tcPr>
          <w:p w14:paraId="00FFE244"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Corect / parțial corect / incorect</w:t>
            </w:r>
          </w:p>
        </w:tc>
        <w:tc>
          <w:tcPr>
            <w:tcW w:w="1077" w:type="dxa"/>
          </w:tcPr>
          <w:p w14:paraId="73980658" w14:textId="77777777" w:rsidR="00102E3C" w:rsidRPr="009C2138" w:rsidRDefault="00102E3C" w:rsidP="0025638B">
            <w:pPr>
              <w:spacing w:line="240" w:lineRule="auto"/>
              <w:jc w:val="both"/>
              <w:rPr>
                <w:rFonts w:ascii="Times New Roman" w:hAnsi="Times New Roman" w:cs="Times New Roman"/>
                <w:color w:val="000000" w:themeColor="text1"/>
              </w:rPr>
            </w:pPr>
            <w:r w:rsidRPr="009C2138">
              <w:rPr>
                <w:rFonts w:ascii="Times New Roman" w:hAnsi="Times New Roman" w:cs="Times New Roman"/>
                <w:color w:val="000000" w:themeColor="text1"/>
              </w:rPr>
              <w:t>cr/pcr/icr</w:t>
            </w:r>
          </w:p>
        </w:tc>
      </w:tr>
    </w:tbl>
    <w:p w14:paraId="4D2036B0"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p>
    <w:p w14:paraId="67DED48D"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r w:rsidRPr="009C2138">
        <w:rPr>
          <w:rFonts w:ascii="Times New Roman" w:hAnsi="Times New Roman" w:cs="Times New Roman"/>
          <w:b/>
          <w:color w:val="000000" w:themeColor="text1"/>
          <w:sz w:val="24"/>
          <w:szCs w:val="24"/>
        </w:rPr>
        <w:t>Particularități:</w:t>
      </w:r>
    </w:p>
    <w:p w14:paraId="6A8D2486"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p>
    <w:p w14:paraId="43BF19D2"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b/>
          <w:color w:val="000000" w:themeColor="text1"/>
          <w:sz w:val="24"/>
          <w:szCs w:val="24"/>
        </w:rPr>
        <w:t>Monitorizarea emisiunilor de autor, investigațiilor jurnalistice, emisiunilor de arhivă, emisiunilor de satiră/umor etc</w:t>
      </w:r>
      <w:r w:rsidRPr="009C2138">
        <w:rPr>
          <w:rFonts w:ascii="Times New Roman" w:hAnsi="Times New Roman" w:cs="Times New Roman"/>
          <w:color w:val="000000" w:themeColor="text1"/>
          <w:sz w:val="24"/>
          <w:szCs w:val="24"/>
        </w:rPr>
        <w:t xml:space="preserve">. difuzate la rubrica specială, solicită o abordare diferită în comparație cu celelalte tipuri de conținuturi audiovizuale electorale. Dacă, de exemplu, o investigație jurnalistică </w:t>
      </w:r>
      <w:r w:rsidRPr="009C2138">
        <w:rPr>
          <w:rFonts w:ascii="Times New Roman" w:hAnsi="Times New Roman" w:cs="Times New Roman"/>
          <w:color w:val="000000" w:themeColor="text1"/>
          <w:sz w:val="24"/>
          <w:szCs w:val="24"/>
        </w:rPr>
        <w:lastRenderedPageBreak/>
        <w:t>dezvăluie un caz de corupție în care este implicat un concurent electoral, nu putem pretinde că FSM este obligat să difuzeze investigații jurnalistice similare despre toți concurenții electorali și doar atunci va întruni principiile de echitate, echilibru și imparțialitate. Ca și în cazul în care am pretinde ca emisiunile de arhivă să vizeze toți concurenții electorali. Prin urmare, atare tipuri de emisiuni vor fi monitorizate conform unui număr mai redus de indicatori, pentru a elucida următoarele aspecte/următorii indicatori:</w:t>
      </w:r>
    </w:p>
    <w:p w14:paraId="154E71C5" w14:textId="77777777" w:rsidR="00102E3C" w:rsidRPr="009C2138" w:rsidRDefault="00102E3C" w:rsidP="0025638B">
      <w:pPr>
        <w:pStyle w:val="Listparagraf"/>
        <w:numPr>
          <w:ilvl w:val="0"/>
          <w:numId w:val="5"/>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difuzarea respectivelor genuri de emisiuni este prevăzută în Declarația aprobată de CA;</w:t>
      </w:r>
    </w:p>
    <w:p w14:paraId="7D6F5C4B" w14:textId="77777777" w:rsidR="00102E3C" w:rsidRPr="009C2138" w:rsidRDefault="00102E3C" w:rsidP="0025638B">
      <w:pPr>
        <w:pStyle w:val="Listparagraf"/>
        <w:numPr>
          <w:ilvl w:val="0"/>
          <w:numId w:val="5"/>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scopul urmărit de emisiune/FSM: scopul urmărește un interes public/interes social general (ex.: atrage atenția necesității unor alegeri ”curate”; informează despre un concurent electoral, despre care se cunoaște că este corupt sau sunt bănuieli rezonabile, cu fapte invocate, că este corupt etc.) sau un interes îngust, politic, de denigrare ori, dimpotrivă, de favorizare a vreunui concurent electoral;</w:t>
      </w:r>
    </w:p>
    <w:p w14:paraId="34349F42" w14:textId="77777777" w:rsidR="00102E3C" w:rsidRPr="009C2138" w:rsidRDefault="00102E3C" w:rsidP="0025638B">
      <w:pPr>
        <w:pStyle w:val="Listparagraf"/>
        <w:numPr>
          <w:ilvl w:val="0"/>
          <w:numId w:val="5"/>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limbajul și mesajele emisiunii: sunt sau nu sunt mesaje care reprezintă conținuturi ilegale, interzise de lege (limbaj de urmă sau discriminatoriu; dezinformare; incitare la violență; îndreptățirea războiului de agresiune sau a terorismului etc.);</w:t>
      </w:r>
    </w:p>
    <w:p w14:paraId="61CE841C" w14:textId="77777777" w:rsidR="00102E3C" w:rsidRPr="009C2138" w:rsidRDefault="00102E3C" w:rsidP="0025638B">
      <w:pPr>
        <w:pStyle w:val="Listparagraf"/>
        <w:numPr>
          <w:ilvl w:val="0"/>
          <w:numId w:val="5"/>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bCs/>
          <w:color w:val="000000" w:themeColor="text1"/>
          <w:sz w:val="24"/>
          <w:szCs w:val="24"/>
        </w:rPr>
        <w:t xml:space="preserve">prezența mențiunii (în subiectele/programele de arhivă): utilizarea materialelor de arhivă trebuie însoțită de mențiunea „Arhiva”, video sau audio; </w:t>
      </w:r>
    </w:p>
    <w:p w14:paraId="4AAF1DE8" w14:textId="77777777" w:rsidR="00102E3C" w:rsidRPr="009C2138" w:rsidRDefault="00102E3C" w:rsidP="0025638B">
      <w:pPr>
        <w:pStyle w:val="Listparagraf"/>
        <w:numPr>
          <w:ilvl w:val="0"/>
          <w:numId w:val="5"/>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bCs/>
          <w:color w:val="000000" w:themeColor="text1"/>
          <w:sz w:val="24"/>
          <w:szCs w:val="24"/>
        </w:rPr>
        <w:t>utilizarea materialelor de arhivă: materialele de arhivă nu pot fi utilizate dacă denaturează sensul lor inițial (material de arhivă este cel stocat pe orice suport, realizat până la începutul perioadei electorale);</w:t>
      </w:r>
    </w:p>
    <w:p w14:paraId="3B1B3129" w14:textId="77777777" w:rsidR="00102E3C" w:rsidRPr="009C2138" w:rsidRDefault="00102E3C" w:rsidP="0025638B">
      <w:pPr>
        <w:pStyle w:val="Listparagraf"/>
        <w:numPr>
          <w:ilvl w:val="0"/>
          <w:numId w:val="5"/>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 xml:space="preserve">după caz, prezența sau lipsa faptelor/argumentelor în judecățile de valoare. </w:t>
      </w:r>
    </w:p>
    <w:p w14:paraId="1D39D09B"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 xml:space="preserve">În cazul, în care vreun aspect din cele enumerate indică o situație problematică, atunci evaluarea legalității emisiunii trebuie făcută în mod separat și să conducă la consecințele ce se impun.  </w:t>
      </w:r>
    </w:p>
    <w:p w14:paraId="4E049490"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20C43261"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shd w:val="clear" w:color="auto" w:fill="FFFFFF"/>
        </w:rPr>
      </w:pPr>
      <w:r w:rsidRPr="009C2138">
        <w:rPr>
          <w:rFonts w:ascii="Times New Roman" w:hAnsi="Times New Roman" w:cs="Times New Roman"/>
          <w:b/>
          <w:color w:val="000000" w:themeColor="text1"/>
          <w:sz w:val="24"/>
          <w:szCs w:val="24"/>
        </w:rPr>
        <w:t xml:space="preserve">Monitorizarea emisiunilor de promovare electorală </w:t>
      </w:r>
      <w:r w:rsidRPr="009C2138">
        <w:rPr>
          <w:rFonts w:ascii="Times New Roman" w:hAnsi="Times New Roman" w:cs="Times New Roman"/>
          <w:color w:val="000000" w:themeColor="text1"/>
          <w:sz w:val="24"/>
          <w:szCs w:val="24"/>
        </w:rPr>
        <w:t xml:space="preserve">se referă doar la FSM naționali și vizează doar </w:t>
      </w:r>
      <w:r w:rsidRPr="009C2138">
        <w:rPr>
          <w:rFonts w:ascii="Times New Roman" w:hAnsi="Times New Roman" w:cs="Times New Roman"/>
          <w:color w:val="000000" w:themeColor="text1"/>
          <w:sz w:val="24"/>
          <w:szCs w:val="24"/>
          <w:shd w:val="clear" w:color="auto" w:fill="FFFFFF"/>
        </w:rPr>
        <w:t xml:space="preserve">alegerile parlamentare, prezidențiale și referendumurile republicane. </w:t>
      </w:r>
    </w:p>
    <w:p w14:paraId="21CD7374"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shd w:val="clear" w:color="auto" w:fill="FFFFFF"/>
        </w:rPr>
      </w:pPr>
      <w:r w:rsidRPr="009C2138">
        <w:rPr>
          <w:rFonts w:ascii="Times New Roman" w:hAnsi="Times New Roman" w:cs="Times New Roman"/>
          <w:color w:val="000000" w:themeColor="text1"/>
          <w:sz w:val="24"/>
          <w:szCs w:val="24"/>
          <w:shd w:val="clear" w:color="auto" w:fill="FFFFFF"/>
        </w:rPr>
        <w:t>Monitorizarea va elucideza următoarele aspecte:</w:t>
      </w:r>
    </w:p>
    <w:p w14:paraId="61D2F62A" w14:textId="77777777" w:rsidR="00102E3C" w:rsidRPr="009C2138" w:rsidRDefault="00102E3C" w:rsidP="0025638B">
      <w:pPr>
        <w:pStyle w:val="Listparagraf"/>
        <w:numPr>
          <w:ilvl w:val="0"/>
          <w:numId w:val="6"/>
        </w:numPr>
        <w:spacing w:after="0" w:line="240" w:lineRule="auto"/>
        <w:jc w:val="both"/>
        <w:rPr>
          <w:rFonts w:ascii="Times New Roman" w:hAnsi="Times New Roman" w:cs="Times New Roman"/>
          <w:color w:val="000000" w:themeColor="text1"/>
          <w:sz w:val="24"/>
          <w:szCs w:val="24"/>
          <w:shd w:val="clear" w:color="auto" w:fill="FFFFFF"/>
        </w:rPr>
      </w:pPr>
      <w:r w:rsidRPr="009C2138">
        <w:rPr>
          <w:rFonts w:ascii="Times New Roman" w:hAnsi="Times New Roman" w:cs="Times New Roman"/>
          <w:color w:val="000000" w:themeColor="text1"/>
          <w:sz w:val="24"/>
          <w:szCs w:val="24"/>
        </w:rPr>
        <w:t>difuzarea respectivelor emisiuni este prevăzută în Declarația aprobată de CA;</w:t>
      </w:r>
    </w:p>
    <w:p w14:paraId="753A9EF8" w14:textId="77777777" w:rsidR="00102E3C" w:rsidRPr="009C2138" w:rsidRDefault="00102E3C" w:rsidP="0025638B">
      <w:pPr>
        <w:pStyle w:val="Listparagraf"/>
        <w:numPr>
          <w:ilvl w:val="0"/>
          <w:numId w:val="6"/>
        </w:numPr>
        <w:spacing w:after="0" w:line="240" w:lineRule="auto"/>
        <w:jc w:val="both"/>
        <w:rPr>
          <w:rFonts w:ascii="Times New Roman" w:hAnsi="Times New Roman" w:cs="Times New Roman"/>
          <w:color w:val="000000" w:themeColor="text1"/>
          <w:sz w:val="24"/>
          <w:szCs w:val="24"/>
          <w:shd w:val="clear" w:color="auto" w:fill="FFFFFF"/>
        </w:rPr>
      </w:pPr>
      <w:r w:rsidRPr="009C2138">
        <w:rPr>
          <w:rFonts w:ascii="Times New Roman" w:hAnsi="Times New Roman" w:cs="Times New Roman"/>
          <w:color w:val="000000" w:themeColor="text1"/>
          <w:sz w:val="24"/>
          <w:szCs w:val="24"/>
        </w:rPr>
        <w:t xml:space="preserve">FSM de televiziune acordă/nu acordă </w:t>
      </w:r>
      <w:r w:rsidRPr="009C2138">
        <w:rPr>
          <w:rFonts w:ascii="Times New Roman" w:hAnsi="Times New Roman" w:cs="Times New Roman"/>
          <w:color w:val="000000" w:themeColor="text1"/>
          <w:sz w:val="24"/>
          <w:szCs w:val="24"/>
          <w:shd w:val="clear" w:color="auto" w:fill="FFFFFF"/>
        </w:rPr>
        <w:t xml:space="preserve">partidelor politice, blocurilor electorale și candidaților independenți înregistrați în calitate de concurenți electorali sau participanți la referendum timpi de antenă gratuit, câte 5 minute; </w:t>
      </w:r>
    </w:p>
    <w:p w14:paraId="64F177A5" w14:textId="77777777" w:rsidR="00102E3C" w:rsidRPr="009C2138" w:rsidRDefault="00102E3C" w:rsidP="0025638B">
      <w:pPr>
        <w:pStyle w:val="Listparagraf"/>
        <w:numPr>
          <w:ilvl w:val="0"/>
          <w:numId w:val="6"/>
        </w:numPr>
        <w:spacing w:after="0" w:line="240" w:lineRule="auto"/>
        <w:jc w:val="both"/>
        <w:rPr>
          <w:rFonts w:ascii="Times New Roman" w:hAnsi="Times New Roman" w:cs="Times New Roman"/>
          <w:color w:val="000000" w:themeColor="text1"/>
          <w:sz w:val="24"/>
          <w:szCs w:val="24"/>
          <w:shd w:val="clear" w:color="auto" w:fill="FFFFFF"/>
        </w:rPr>
      </w:pPr>
      <w:r w:rsidRPr="009C2138">
        <w:rPr>
          <w:rFonts w:ascii="Times New Roman" w:hAnsi="Times New Roman" w:cs="Times New Roman"/>
          <w:color w:val="000000" w:themeColor="text1"/>
          <w:sz w:val="24"/>
          <w:szCs w:val="24"/>
        </w:rPr>
        <w:t xml:space="preserve">FSM de radiodifuziune sonoră acordă/nu acordă </w:t>
      </w:r>
      <w:r w:rsidRPr="009C2138">
        <w:rPr>
          <w:rFonts w:ascii="Times New Roman" w:hAnsi="Times New Roman" w:cs="Times New Roman"/>
          <w:color w:val="000000" w:themeColor="text1"/>
          <w:sz w:val="24"/>
          <w:szCs w:val="24"/>
          <w:shd w:val="clear" w:color="auto" w:fill="FFFFFF"/>
        </w:rPr>
        <w:t xml:space="preserve">partidelor politice, blocurilor electorale și candidaților independenți înregistrați în calitate de concurenți electorali sau participanți la referendum timpi de antenă gratuit, câte 10 minute; </w:t>
      </w:r>
    </w:p>
    <w:p w14:paraId="1E87CFFB" w14:textId="77777777" w:rsidR="00102E3C" w:rsidRPr="009C2138" w:rsidRDefault="00102E3C" w:rsidP="0025638B">
      <w:pPr>
        <w:pStyle w:val="Listparagraf"/>
        <w:numPr>
          <w:ilvl w:val="0"/>
          <w:numId w:val="6"/>
        </w:numPr>
        <w:spacing w:after="0" w:line="240" w:lineRule="auto"/>
        <w:jc w:val="both"/>
        <w:rPr>
          <w:rFonts w:ascii="Times New Roman" w:hAnsi="Times New Roman" w:cs="Times New Roman"/>
          <w:color w:val="000000" w:themeColor="text1"/>
          <w:sz w:val="24"/>
          <w:szCs w:val="24"/>
          <w:shd w:val="clear" w:color="auto" w:fill="FFFFFF"/>
        </w:rPr>
      </w:pPr>
      <w:r w:rsidRPr="009C2138">
        <w:rPr>
          <w:rFonts w:ascii="Times New Roman" w:hAnsi="Times New Roman" w:cs="Times New Roman"/>
          <w:color w:val="000000" w:themeColor="text1"/>
          <w:sz w:val="24"/>
          <w:szCs w:val="24"/>
        </w:rPr>
        <w:t xml:space="preserve">FSM au acordat/nu au acordat timpii de antenă </w:t>
      </w:r>
      <w:r w:rsidRPr="009C2138">
        <w:rPr>
          <w:rFonts w:ascii="Times New Roman" w:hAnsi="Times New Roman" w:cs="Times New Roman"/>
          <w:color w:val="000000" w:themeColor="text1"/>
          <w:sz w:val="24"/>
          <w:szCs w:val="24"/>
          <w:shd w:val="clear" w:color="auto" w:fill="FFFFFF"/>
        </w:rPr>
        <w:t>în mod integral în primele 15 zile de la începerea campaniei electorale;</w:t>
      </w:r>
    </w:p>
    <w:p w14:paraId="5B429E42" w14:textId="77777777" w:rsidR="00102E3C" w:rsidRPr="009C2138" w:rsidRDefault="00102E3C" w:rsidP="0025638B">
      <w:pPr>
        <w:pStyle w:val="Listparagraf"/>
        <w:numPr>
          <w:ilvl w:val="0"/>
          <w:numId w:val="6"/>
        </w:numPr>
        <w:spacing w:after="0" w:line="240" w:lineRule="auto"/>
        <w:jc w:val="both"/>
        <w:rPr>
          <w:rFonts w:ascii="Times New Roman" w:hAnsi="Times New Roman" w:cs="Times New Roman"/>
          <w:color w:val="000000" w:themeColor="text1"/>
          <w:sz w:val="24"/>
          <w:szCs w:val="24"/>
          <w:shd w:val="clear" w:color="auto" w:fill="FFFFFF"/>
        </w:rPr>
      </w:pPr>
      <w:r w:rsidRPr="009C2138">
        <w:rPr>
          <w:rFonts w:ascii="Times New Roman" w:hAnsi="Times New Roman" w:cs="Times New Roman"/>
          <w:color w:val="000000" w:themeColor="text1"/>
          <w:sz w:val="24"/>
          <w:szCs w:val="24"/>
          <w:shd w:val="clear" w:color="auto" w:fill="FFFFFF"/>
        </w:rPr>
        <w:t>timpii de antenă sunt/nu sunt utilizați în scopul expunerii programelor electorale și al informării alegătorilor;</w:t>
      </w:r>
    </w:p>
    <w:p w14:paraId="25BE2E28" w14:textId="77777777" w:rsidR="00102E3C" w:rsidRPr="009C2138" w:rsidRDefault="00102E3C" w:rsidP="0025638B">
      <w:pPr>
        <w:pStyle w:val="Listparagraf"/>
        <w:numPr>
          <w:ilvl w:val="0"/>
          <w:numId w:val="6"/>
        </w:numPr>
        <w:spacing w:after="0" w:line="240" w:lineRule="auto"/>
        <w:jc w:val="both"/>
        <w:rPr>
          <w:rFonts w:ascii="Times New Roman" w:hAnsi="Times New Roman" w:cs="Times New Roman"/>
          <w:color w:val="000000" w:themeColor="text1"/>
          <w:sz w:val="24"/>
          <w:szCs w:val="24"/>
          <w:shd w:val="clear" w:color="auto" w:fill="FFFFFF"/>
        </w:rPr>
      </w:pPr>
      <w:r w:rsidRPr="009C2138">
        <w:rPr>
          <w:rFonts w:ascii="Times New Roman" w:hAnsi="Times New Roman" w:cs="Times New Roman"/>
          <w:color w:val="000000" w:themeColor="text1"/>
          <w:sz w:val="24"/>
          <w:szCs w:val="24"/>
          <w:shd w:val="clear" w:color="auto" w:fill="FFFFFF"/>
        </w:rPr>
        <w:t>timpii de antenă sunt/nu sunt utilizați în scopul difuzării publicității electorale;</w:t>
      </w:r>
    </w:p>
    <w:p w14:paraId="0BFD88C1" w14:textId="77777777" w:rsidR="00102E3C" w:rsidRPr="009C2138" w:rsidRDefault="00102E3C" w:rsidP="0025638B">
      <w:pPr>
        <w:pStyle w:val="Listparagraf"/>
        <w:numPr>
          <w:ilvl w:val="0"/>
          <w:numId w:val="6"/>
        </w:numPr>
        <w:spacing w:after="0" w:line="240" w:lineRule="auto"/>
        <w:jc w:val="both"/>
        <w:rPr>
          <w:rFonts w:ascii="Times New Roman" w:hAnsi="Times New Roman" w:cs="Times New Roman"/>
          <w:color w:val="000000" w:themeColor="text1"/>
          <w:sz w:val="24"/>
          <w:szCs w:val="24"/>
          <w:shd w:val="clear" w:color="auto" w:fill="FFFFFF"/>
        </w:rPr>
      </w:pPr>
      <w:r w:rsidRPr="009C2138">
        <w:rPr>
          <w:rFonts w:ascii="Times New Roman" w:hAnsi="Times New Roman" w:cs="Times New Roman"/>
          <w:color w:val="000000" w:themeColor="text1"/>
          <w:sz w:val="24"/>
          <w:szCs w:val="24"/>
          <w:shd w:val="clear" w:color="auto" w:fill="FFFFFF"/>
        </w:rPr>
        <w:t>emisiunile reprezintă/nu reprezintă conținuturi ilegale;</w:t>
      </w:r>
    </w:p>
    <w:p w14:paraId="18740DE3" w14:textId="77777777" w:rsidR="00102E3C" w:rsidRPr="009C2138" w:rsidRDefault="00102E3C" w:rsidP="0025638B">
      <w:pPr>
        <w:pStyle w:val="Listparagraf"/>
        <w:numPr>
          <w:ilvl w:val="0"/>
          <w:numId w:val="6"/>
        </w:numPr>
        <w:spacing w:after="0" w:line="240" w:lineRule="auto"/>
        <w:jc w:val="both"/>
        <w:rPr>
          <w:rFonts w:ascii="Times New Roman" w:hAnsi="Times New Roman" w:cs="Times New Roman"/>
          <w:color w:val="000000" w:themeColor="text1"/>
          <w:sz w:val="24"/>
          <w:szCs w:val="24"/>
          <w:shd w:val="clear" w:color="auto" w:fill="FFFFFF"/>
        </w:rPr>
      </w:pPr>
      <w:r w:rsidRPr="009C2138">
        <w:rPr>
          <w:rFonts w:ascii="Times New Roman" w:hAnsi="Times New Roman" w:cs="Times New Roman"/>
          <w:color w:val="000000" w:themeColor="text1"/>
          <w:sz w:val="24"/>
          <w:szCs w:val="24"/>
        </w:rPr>
        <w:t xml:space="preserve">emisiunile sunt/nu sunt </w:t>
      </w:r>
      <w:r w:rsidRPr="009C2138">
        <w:rPr>
          <w:rFonts w:ascii="Times New Roman" w:hAnsi="Times New Roman" w:cs="Times New Roman"/>
          <w:bCs/>
          <w:color w:val="000000" w:themeColor="text1"/>
          <w:sz w:val="24"/>
          <w:szCs w:val="24"/>
        </w:rPr>
        <w:t>evidențiate de alte programe prin semnale acustice sau vizuale unice cu mențiunea „Emisiune de promovare electorală”, la început și la final</w:t>
      </w:r>
      <w:r w:rsidRPr="009C2138">
        <w:rPr>
          <w:rFonts w:ascii="Times New Roman" w:hAnsi="Times New Roman" w:cs="Times New Roman"/>
          <w:b/>
          <w:color w:val="000000" w:themeColor="text1"/>
          <w:sz w:val="24"/>
          <w:szCs w:val="24"/>
        </w:rPr>
        <w:t>:</w:t>
      </w:r>
      <w:r w:rsidRPr="009C2138">
        <w:rPr>
          <w:rFonts w:ascii="Times New Roman" w:hAnsi="Times New Roman" w:cs="Times New Roman"/>
          <w:color w:val="000000" w:themeColor="text1"/>
          <w:sz w:val="24"/>
          <w:szCs w:val="24"/>
        </w:rPr>
        <w:t xml:space="preserve"> </w:t>
      </w:r>
    </w:p>
    <w:p w14:paraId="374572AA"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 xml:space="preserve">În cazul, în care vreun aspect din cele enumerate indică o situație problematică, atunci evaluarea legalității emisiunii trebuie făcută în mod separat și să conducă la consecințele ce se impun.  </w:t>
      </w:r>
    </w:p>
    <w:p w14:paraId="7E4CBC3F"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p>
    <w:p w14:paraId="60DEAA94"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b/>
          <w:color w:val="000000" w:themeColor="text1"/>
          <w:sz w:val="24"/>
          <w:szCs w:val="24"/>
        </w:rPr>
        <w:t>Monitorizarea dezbaterilor electorale</w:t>
      </w:r>
      <w:r w:rsidRPr="009C2138">
        <w:rPr>
          <w:rFonts w:ascii="Times New Roman" w:hAnsi="Times New Roman" w:cs="Times New Roman"/>
          <w:color w:val="000000" w:themeColor="text1"/>
          <w:sz w:val="24"/>
          <w:szCs w:val="24"/>
        </w:rPr>
        <w:t xml:space="preserve"> necesită o ajustare a indicatorilor metodologiei, precum și o analiză separată a acestui tip de emisiuni, precum și o analiză comparativă anume cu acest tip de emisiuni de la ceilalți FSM monitorizați. Ajustarea indicatorilor trebuie făcută în funcție de cerințele legale pentru acest tip de emisiuni și pentru moderatorii lor. Monitorizarea va elucida următoarele aspecte:</w:t>
      </w:r>
    </w:p>
    <w:p w14:paraId="5942ECF8" w14:textId="77777777" w:rsidR="00102E3C" w:rsidRPr="009C2138" w:rsidRDefault="00102E3C" w:rsidP="0025638B">
      <w:pPr>
        <w:pStyle w:val="Listparagraf"/>
        <w:numPr>
          <w:ilvl w:val="0"/>
          <w:numId w:val="7"/>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emisiunile de acest tip sunt/nu sunt prevăzute în Declarația aprobată de CA;</w:t>
      </w:r>
    </w:p>
    <w:p w14:paraId="7789D3F0" w14:textId="77777777" w:rsidR="00102E3C" w:rsidRPr="009C2138" w:rsidRDefault="00102E3C" w:rsidP="0025638B">
      <w:pPr>
        <w:pStyle w:val="Listparagraf"/>
        <w:numPr>
          <w:ilvl w:val="0"/>
          <w:numId w:val="7"/>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emisiunile sunt/nu sunt difuzate în prime-time;</w:t>
      </w:r>
    </w:p>
    <w:p w14:paraId="7D9482F6" w14:textId="77777777" w:rsidR="00102E3C" w:rsidRPr="009C2138" w:rsidRDefault="00102E3C" w:rsidP="0025638B">
      <w:pPr>
        <w:pStyle w:val="Listparagraf"/>
        <w:numPr>
          <w:ilvl w:val="0"/>
          <w:numId w:val="7"/>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lastRenderedPageBreak/>
        <w:t xml:space="preserve">tema emisiunii este/nu este anunțată și menținută pe tot parcursul emisiunii; </w:t>
      </w:r>
    </w:p>
    <w:p w14:paraId="45712368" w14:textId="77777777" w:rsidR="00102E3C" w:rsidRPr="009C2138" w:rsidRDefault="00102E3C" w:rsidP="0025638B">
      <w:pPr>
        <w:pStyle w:val="Listparagraf"/>
        <w:numPr>
          <w:ilvl w:val="0"/>
          <w:numId w:val="7"/>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 xml:space="preserve">la emisiuni sunt/nu sunt invitați toți concurenții electorali/participanții la referendum, în ordinea stabilită conform unor criterii credibile (de exemplu, în ordinea înregistrării lor);        </w:t>
      </w:r>
    </w:p>
    <w:p w14:paraId="2068395B" w14:textId="77777777" w:rsidR="00102E3C" w:rsidRPr="009C2138" w:rsidRDefault="00102E3C" w:rsidP="0025638B">
      <w:pPr>
        <w:pStyle w:val="Listparagraf"/>
        <w:numPr>
          <w:ilvl w:val="0"/>
          <w:numId w:val="7"/>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participanților la dezbateri li se acordă/nu li se acordă timp egal, conform rigorilor legale, iar î</w:t>
      </w:r>
      <w:r w:rsidRPr="009C2138">
        <w:rPr>
          <w:rFonts w:ascii="Times New Roman" w:hAnsi="Times New Roman" w:cs="Times New Roman"/>
          <w:bCs/>
          <w:color w:val="000000" w:themeColor="text1"/>
          <w:sz w:val="24"/>
          <w:szCs w:val="24"/>
        </w:rPr>
        <w:t>n cazul absenței cuiva, timpul rezervat acestuia este/nu este redistribuit celor prezenți;</w:t>
      </w:r>
    </w:p>
    <w:p w14:paraId="596D131A" w14:textId="77777777" w:rsidR="00102E3C" w:rsidRPr="009C2138" w:rsidRDefault="00102E3C" w:rsidP="0025638B">
      <w:pPr>
        <w:pStyle w:val="Listparagraf"/>
        <w:numPr>
          <w:ilvl w:val="0"/>
          <w:numId w:val="7"/>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 xml:space="preserve">în interiorul emisiunii este/nu este plasată publicitate electorală sau </w:t>
      </w:r>
      <w:r w:rsidRPr="009C2138">
        <w:rPr>
          <w:rFonts w:ascii="Times New Roman" w:hAnsi="Times New Roman" w:cs="Times New Roman"/>
          <w:bCs/>
          <w:color w:val="000000" w:themeColor="text1"/>
          <w:sz w:val="24"/>
          <w:szCs w:val="24"/>
        </w:rPr>
        <w:t>date despre rezultatele sondajelor de opinie privind preferințele politice ale alegătorilor;</w:t>
      </w:r>
      <w:r w:rsidRPr="009C2138">
        <w:rPr>
          <w:rFonts w:ascii="Times New Roman" w:hAnsi="Times New Roman" w:cs="Times New Roman"/>
          <w:color w:val="000000" w:themeColor="text1"/>
          <w:sz w:val="24"/>
          <w:szCs w:val="24"/>
        </w:rPr>
        <w:t xml:space="preserve"> emisiunea este/nu este însoțită de titre mobile;</w:t>
      </w:r>
    </w:p>
    <w:p w14:paraId="4882AB61" w14:textId="77777777" w:rsidR="00102E3C" w:rsidRPr="009C2138" w:rsidRDefault="00102E3C" w:rsidP="0025638B">
      <w:pPr>
        <w:pStyle w:val="Listparagraf"/>
        <w:numPr>
          <w:ilvl w:val="0"/>
          <w:numId w:val="7"/>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 xml:space="preserve">moderatorul este/nu este concurent electoral </w:t>
      </w:r>
      <w:r w:rsidRPr="009C2138">
        <w:rPr>
          <w:rFonts w:ascii="Times New Roman" w:hAnsi="Times New Roman" w:cs="Times New Roman"/>
          <w:bCs/>
          <w:color w:val="000000" w:themeColor="text1"/>
          <w:sz w:val="24"/>
          <w:szCs w:val="24"/>
        </w:rPr>
        <w:t xml:space="preserve">ori persoană de încredere sau rudă de gradul întâi și doi al concurenților electorali/participanților la referendum; </w:t>
      </w:r>
    </w:p>
    <w:p w14:paraId="57F58765" w14:textId="77777777" w:rsidR="00102E3C" w:rsidRPr="009C2138" w:rsidRDefault="00102E3C" w:rsidP="0025638B">
      <w:pPr>
        <w:pStyle w:val="Listparagraf"/>
        <w:numPr>
          <w:ilvl w:val="0"/>
          <w:numId w:val="7"/>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bCs/>
          <w:color w:val="000000" w:themeColor="text1"/>
          <w:sz w:val="24"/>
          <w:szCs w:val="24"/>
        </w:rPr>
        <w:t xml:space="preserve">moderatorul moderează/nu moderează dezbateri electorale doar în cadrul unuia și aceluiași serviciu media audiovizual; </w:t>
      </w:r>
    </w:p>
    <w:p w14:paraId="015821C2" w14:textId="77777777" w:rsidR="00102E3C" w:rsidRPr="009C2138" w:rsidRDefault="00102E3C" w:rsidP="0025638B">
      <w:pPr>
        <w:pStyle w:val="Listparagraf"/>
        <w:numPr>
          <w:ilvl w:val="0"/>
          <w:numId w:val="7"/>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 xml:space="preserve">moderatorul </w:t>
      </w:r>
      <w:r w:rsidRPr="009C2138">
        <w:rPr>
          <w:rFonts w:ascii="Times New Roman" w:hAnsi="Times New Roman" w:cs="Times New Roman"/>
          <w:bCs/>
          <w:color w:val="000000" w:themeColor="text1"/>
          <w:sz w:val="24"/>
          <w:szCs w:val="24"/>
        </w:rPr>
        <w:t xml:space="preserve">sonorizează/nu sonorizează spoturi de publicitate electorală sau apare/nu apare în imagini din spoturi de publicitate electorală; </w:t>
      </w:r>
    </w:p>
    <w:p w14:paraId="2D13D0D1" w14:textId="77777777" w:rsidR="00102E3C" w:rsidRPr="009C2138" w:rsidRDefault="00102E3C" w:rsidP="0025638B">
      <w:pPr>
        <w:pStyle w:val="Listparagraf"/>
        <w:numPr>
          <w:ilvl w:val="0"/>
          <w:numId w:val="7"/>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 xml:space="preserve">moderatorul este/nu este imparțial; intervine sau nu în cazul, în care vreun participant recurge la </w:t>
      </w:r>
      <w:r w:rsidRPr="009C2138">
        <w:rPr>
          <w:rFonts w:ascii="Times New Roman" w:hAnsi="Times New Roman" w:cs="Times New Roman"/>
          <w:bCs/>
          <w:color w:val="000000" w:themeColor="text1"/>
          <w:sz w:val="24"/>
          <w:szCs w:val="24"/>
        </w:rPr>
        <w:t>discurs care incită la ură; la dezinformare; la mesaje care justifică războaiele de agresiune, neagă crimele de război și crimele împotriva umanității, la limbaj sexist</w:t>
      </w:r>
      <w:r w:rsidRPr="009C2138">
        <w:rPr>
          <w:rFonts w:ascii="Times New Roman" w:hAnsi="Times New Roman" w:cs="Times New Roman"/>
          <w:color w:val="000000" w:themeColor="text1"/>
          <w:sz w:val="24"/>
          <w:szCs w:val="24"/>
        </w:rPr>
        <w:t xml:space="preserve">; </w:t>
      </w:r>
    </w:p>
    <w:p w14:paraId="6C3EA463" w14:textId="77777777" w:rsidR="00102E3C" w:rsidRPr="009C2138" w:rsidRDefault="00102E3C" w:rsidP="0025638B">
      <w:pPr>
        <w:pStyle w:val="Listparagraf"/>
        <w:numPr>
          <w:ilvl w:val="0"/>
          <w:numId w:val="7"/>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moderatorul este sau nu este nevoit să suspende dezbaterea și dacă o suspendă, cum acționează FSM în continuare (</w:t>
      </w:r>
      <w:r w:rsidRPr="009C2138">
        <w:rPr>
          <w:rFonts w:ascii="Times New Roman" w:hAnsi="Times New Roman" w:cs="Times New Roman"/>
          <w:bCs/>
          <w:color w:val="000000" w:themeColor="text1"/>
          <w:sz w:val="24"/>
          <w:szCs w:val="24"/>
        </w:rPr>
        <w:t>reprogramează dezbaterea cu participarea acelorași invitați;  reprogramează dezbaterea cu schimbarea componenței invitaților; reprogramează dezbaterea în alt interval orar decât cel prevăzut în declarația politicii editoriale aprobată de CA) și dacă anunță publicul despre aceasta.</w:t>
      </w:r>
    </w:p>
    <w:p w14:paraId="3A3553BA"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În cazul în care analiza atestă nereguli, acestea, cu argumentarea corespunzătoare, sunt indicate în raportul de monitorizare.</w:t>
      </w:r>
    </w:p>
    <w:p w14:paraId="2AD9DC11"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p>
    <w:p w14:paraId="02DC3552"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b/>
          <w:color w:val="000000" w:themeColor="text1"/>
          <w:sz w:val="24"/>
          <w:szCs w:val="24"/>
        </w:rPr>
        <w:t xml:space="preserve">Monitorizarea publicității electorale </w:t>
      </w:r>
      <w:r w:rsidRPr="009C2138">
        <w:rPr>
          <w:rFonts w:ascii="Times New Roman" w:hAnsi="Times New Roman" w:cs="Times New Roman"/>
          <w:color w:val="000000" w:themeColor="text1"/>
          <w:sz w:val="24"/>
          <w:szCs w:val="24"/>
        </w:rPr>
        <w:t>necesită o ajustare a indicatorilor, iar aplicarea lor va elucida următoarele aspecte:</w:t>
      </w:r>
    </w:p>
    <w:p w14:paraId="54F646A8" w14:textId="77777777" w:rsidR="00102E3C" w:rsidRPr="009C2138" w:rsidRDefault="00102E3C" w:rsidP="0025638B">
      <w:pPr>
        <w:pStyle w:val="Listparagraf"/>
        <w:numPr>
          <w:ilvl w:val="0"/>
          <w:numId w:val="8"/>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dreptul FSM de a difuza publicitate electorală (are dreptul doar FSM care reflectă alegerile conform Declarației aprobate de CA);</w:t>
      </w:r>
    </w:p>
    <w:p w14:paraId="070179E6" w14:textId="77777777" w:rsidR="00102E3C" w:rsidRPr="009C2138" w:rsidRDefault="00102E3C" w:rsidP="0025638B">
      <w:pPr>
        <w:pStyle w:val="Listparagraf"/>
        <w:numPr>
          <w:ilvl w:val="0"/>
          <w:numId w:val="8"/>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durata fiecărui spot de publicitate electorală (nu mai scurtă de 30 de secunde);</w:t>
      </w:r>
    </w:p>
    <w:p w14:paraId="5EAE0F05" w14:textId="77777777" w:rsidR="00102E3C" w:rsidRPr="009C2138" w:rsidRDefault="00102E3C" w:rsidP="0025638B">
      <w:pPr>
        <w:pStyle w:val="Listparagraf"/>
        <w:numPr>
          <w:ilvl w:val="0"/>
          <w:numId w:val="8"/>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durata zilnică a spoturilor de publicitate electorală pentru fiecare concurent electoral/participant la referendum (2 minute pe zi – publicitate electorală contra cost acordate de toți FSM; 1 minut de publicitate electorală gratuită pe zi acordat doar de FSM publici);</w:t>
      </w:r>
      <w:r w:rsidRPr="009C2138">
        <w:rPr>
          <w:rFonts w:ascii="Times New Roman" w:hAnsi="Times New Roman" w:cs="Times New Roman"/>
          <w:color w:val="000000" w:themeColor="text1"/>
          <w:sz w:val="24"/>
          <w:szCs w:val="24"/>
          <w:shd w:val="clear" w:color="auto" w:fill="FFFFFF"/>
        </w:rPr>
        <w:t xml:space="preserve"> </w:t>
      </w:r>
    </w:p>
    <w:p w14:paraId="568321EF" w14:textId="77777777" w:rsidR="00102E3C" w:rsidRPr="009C2138" w:rsidRDefault="00102E3C" w:rsidP="0025638B">
      <w:pPr>
        <w:pStyle w:val="Listparagraf"/>
        <w:numPr>
          <w:ilvl w:val="0"/>
          <w:numId w:val="8"/>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spoturile de publicitate electorală reprezintă/nu reprezintă conținuturi ilegale</w:t>
      </w:r>
      <w:r w:rsidRPr="009C2138">
        <w:rPr>
          <w:rFonts w:ascii="Times New Roman" w:eastAsiaTheme="minorEastAsia" w:hAnsi="Times New Roman" w:cs="Times New Roman"/>
          <w:b/>
          <w:bCs/>
          <w:color w:val="000000" w:themeColor="text1"/>
          <w:kern w:val="24"/>
          <w:sz w:val="24"/>
          <w:szCs w:val="24"/>
        </w:rPr>
        <w:t xml:space="preserve"> </w:t>
      </w:r>
      <w:r w:rsidRPr="009C2138">
        <w:rPr>
          <w:rFonts w:ascii="Times New Roman" w:eastAsiaTheme="minorEastAsia" w:hAnsi="Times New Roman" w:cs="Times New Roman"/>
          <w:bCs/>
          <w:color w:val="000000" w:themeColor="text1"/>
          <w:kern w:val="24"/>
          <w:sz w:val="24"/>
          <w:szCs w:val="24"/>
        </w:rPr>
        <w:t>(</w:t>
      </w:r>
      <w:r w:rsidRPr="009C2138">
        <w:rPr>
          <w:rFonts w:ascii="Times New Roman" w:hAnsi="Times New Roman" w:cs="Times New Roman"/>
          <w:bCs/>
          <w:color w:val="000000" w:themeColor="text1"/>
          <w:sz w:val="24"/>
          <w:szCs w:val="24"/>
        </w:rPr>
        <w:t>îndemnul la război de agresiune, la ură națională, rasială sau religioasă, incitarea la discriminare, la separatism teritorial, la violență publică; este interzisă utilizarea atributelor și simbolurilor general cunoscute ce sunt folosite în contextul unor acțiuni de agresiune militară, crime de război sau crime împotriva umanității, precum și al propagandei sau glorificării acestor acțiuni; nu pot fi utilizate imagini ce reprezintă culte religioase sau părți componente ale acestora, persoane oficiale străine, instituții de stat sau autorități publice de peste hotare, organizații internaționale; este interzisă combinarea de culori și/sau sunete care evocă simboluri ale altui stat)</w:t>
      </w:r>
      <w:r w:rsidRPr="009C2138">
        <w:rPr>
          <w:rFonts w:ascii="Times New Roman" w:hAnsi="Times New Roman" w:cs="Times New Roman"/>
          <w:color w:val="000000" w:themeColor="text1"/>
          <w:sz w:val="24"/>
          <w:szCs w:val="24"/>
        </w:rPr>
        <w:t>;</w:t>
      </w:r>
    </w:p>
    <w:p w14:paraId="7FB9B5F9" w14:textId="77777777" w:rsidR="00102E3C" w:rsidRPr="009C2138" w:rsidRDefault="00102E3C" w:rsidP="0025638B">
      <w:pPr>
        <w:pStyle w:val="Listparagraf"/>
        <w:numPr>
          <w:ilvl w:val="0"/>
          <w:numId w:val="8"/>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 xml:space="preserve">publicitatea electorală este/nu este difuzată în calupuri separate de conținuturi editorială la rubrica specială (este </w:t>
      </w:r>
      <w:r w:rsidRPr="009C2138">
        <w:rPr>
          <w:rFonts w:ascii="Times New Roman" w:hAnsi="Times New Roman" w:cs="Times New Roman"/>
          <w:bCs/>
          <w:color w:val="000000" w:themeColor="text1"/>
          <w:sz w:val="24"/>
          <w:szCs w:val="24"/>
        </w:rPr>
        <w:t>evidențiată de alte programe prin semnale acustice sau vizuale unice)</w:t>
      </w:r>
      <w:r w:rsidRPr="009C2138">
        <w:rPr>
          <w:rFonts w:ascii="Times New Roman" w:hAnsi="Times New Roman" w:cs="Times New Roman"/>
          <w:color w:val="000000" w:themeColor="text1"/>
          <w:sz w:val="24"/>
          <w:szCs w:val="24"/>
        </w:rPr>
        <w:t>;</w:t>
      </w:r>
    </w:p>
    <w:p w14:paraId="1286FDBB" w14:textId="77777777" w:rsidR="00102E3C" w:rsidRPr="009C2138" w:rsidRDefault="00102E3C" w:rsidP="0025638B">
      <w:pPr>
        <w:pStyle w:val="Listparagraf"/>
        <w:numPr>
          <w:ilvl w:val="0"/>
          <w:numId w:val="8"/>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bCs/>
          <w:color w:val="000000" w:themeColor="text1"/>
          <w:sz w:val="24"/>
          <w:szCs w:val="24"/>
        </w:rPr>
        <w:t>publicitatea electorală este/nu este difuzată în cazurile interzise de lege (din propria inițiativă a FSM; în lipsa unui contract în formă scrisă, până la difuzarea publicității electorale;  nu a fost efectuată plata în avans; plata în avans a fost făcută din alte surse, decât cele din fondul electoral al concurentului electoral sau participantului la referendum; difuzarea are ca efect încălcarea cerințelor legislației privind modul și/sau timpul de difuzare a publicității electorale);</w:t>
      </w:r>
    </w:p>
    <w:p w14:paraId="5FC0B48A" w14:textId="77777777" w:rsidR="00102E3C" w:rsidRPr="009C2138" w:rsidRDefault="00102E3C" w:rsidP="0025638B">
      <w:pPr>
        <w:pStyle w:val="Listparagraf"/>
        <w:numPr>
          <w:ilvl w:val="0"/>
          <w:numId w:val="8"/>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fiecare spot de publicitate electorală conține/nu conține elementele de identificare solicitate de lege (contract/factură/comanditar/plătit din fondul electoral etc.);</w:t>
      </w:r>
    </w:p>
    <w:p w14:paraId="7EDB0884" w14:textId="77777777" w:rsidR="00102E3C" w:rsidRPr="009C2138" w:rsidRDefault="00102E3C" w:rsidP="0025638B">
      <w:pPr>
        <w:pStyle w:val="Listparagraf"/>
        <w:numPr>
          <w:ilvl w:val="0"/>
          <w:numId w:val="8"/>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lastRenderedPageBreak/>
        <w:t xml:space="preserve">în spoturile de publicitate electorală este/nu este vocea și/sau imaginea prezentatorilor/moderatorilor FSM. </w:t>
      </w:r>
    </w:p>
    <w:p w14:paraId="33E2AFDB"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În cazul în care analiza atestă nereguli, acestea, cu argumentarea corespunzătoare, sunt indicate în raportul de monitorizare.</w:t>
      </w:r>
    </w:p>
    <w:p w14:paraId="1A8140CC"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b/>
          <w:color w:val="000000" w:themeColor="text1"/>
          <w:sz w:val="24"/>
          <w:szCs w:val="24"/>
        </w:rPr>
        <w:t>Monitorizarea programelor audiovizuale sponsorizate și a celor de publicitate comercială</w:t>
      </w:r>
      <w:r w:rsidRPr="009C2138">
        <w:rPr>
          <w:rFonts w:ascii="Times New Roman" w:hAnsi="Times New Roman" w:cs="Times New Roman"/>
          <w:color w:val="000000" w:themeColor="text1"/>
          <w:sz w:val="24"/>
          <w:szCs w:val="24"/>
        </w:rPr>
        <w:t xml:space="preserve"> </w:t>
      </w:r>
      <w:r w:rsidRPr="009C2138">
        <w:rPr>
          <w:rFonts w:ascii="Times New Roman" w:hAnsi="Times New Roman" w:cs="Times New Roman"/>
          <w:b/>
          <w:color w:val="000000" w:themeColor="text1"/>
          <w:sz w:val="24"/>
          <w:szCs w:val="24"/>
        </w:rPr>
        <w:t>în perioada electorală</w:t>
      </w:r>
      <w:r w:rsidRPr="009C2138">
        <w:rPr>
          <w:rFonts w:ascii="Times New Roman" w:hAnsi="Times New Roman" w:cs="Times New Roman"/>
          <w:color w:val="000000" w:themeColor="text1"/>
          <w:sz w:val="24"/>
          <w:szCs w:val="24"/>
        </w:rPr>
        <w:t xml:space="preserve"> trebuie să stabilească respectarea/nerespectarea următoarelor prevederi legale:</w:t>
      </w:r>
    </w:p>
    <w:p w14:paraId="6B9F9C96" w14:textId="77777777" w:rsidR="00102E3C" w:rsidRPr="009C2138" w:rsidRDefault="00102E3C" w:rsidP="0025638B">
      <w:pPr>
        <w:pStyle w:val="Listparagraf"/>
        <w:numPr>
          <w:ilvl w:val="0"/>
          <w:numId w:val="9"/>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bCs/>
          <w:color w:val="000000" w:themeColor="text1"/>
          <w:sz w:val="24"/>
          <w:szCs w:val="24"/>
        </w:rPr>
        <w:t>este interzisă difuzarea publicității comerciale cu participarea unuia sau mai multor concurenți electorali/participanți la referendum. Interdicția intră în vigoare din ziua în care participantul la publicitatea comercială este înregistrat în calitate de concurent electoral/participant la referendum;</w:t>
      </w:r>
    </w:p>
    <w:p w14:paraId="65471576" w14:textId="77777777" w:rsidR="00102E3C" w:rsidRPr="009C2138" w:rsidRDefault="00102E3C" w:rsidP="0025638B">
      <w:pPr>
        <w:pStyle w:val="Listparagraf"/>
        <w:numPr>
          <w:ilvl w:val="0"/>
          <w:numId w:val="9"/>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bCs/>
          <w:color w:val="000000" w:themeColor="text1"/>
          <w:sz w:val="24"/>
          <w:szCs w:val="24"/>
        </w:rPr>
        <w:t>este interzisă difuzarea programelor audiovizuale sponsorizate de concurenți electorali/participanți la referendum. Interdicția intră în vigoare din ziua în care sponsorul este înregistrat în calitate de concurent electoral/participant la referendum.</w:t>
      </w:r>
    </w:p>
    <w:p w14:paraId="730F2A27"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În cazul în care analiza atestă nereguli, acestea, cu argumentarea corespunzătoare, sunt indicate în raportul de monitorizare.</w:t>
      </w:r>
    </w:p>
    <w:p w14:paraId="27D115A7"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1B386855"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b/>
          <w:color w:val="000000" w:themeColor="text1"/>
          <w:sz w:val="24"/>
          <w:szCs w:val="24"/>
        </w:rPr>
        <w:t xml:space="preserve">Monitorizarea conținuturilor de autopromovare </w:t>
      </w:r>
      <w:r w:rsidRPr="009C2138">
        <w:rPr>
          <w:rFonts w:ascii="Times New Roman" w:hAnsi="Times New Roman" w:cs="Times New Roman"/>
          <w:color w:val="000000" w:themeColor="text1"/>
          <w:sz w:val="24"/>
          <w:szCs w:val="24"/>
        </w:rPr>
        <w:t xml:space="preserve">trebuie să urmărească, în principal, dacă FSM promovează în mod echitabil, echilibrat și imparțial toate conținuturile cu caracter electoral sau dă referință clară doar conținuturilor, în care sunt prezenți anumiți concurenți electorali/participanți la referendum. </w:t>
      </w:r>
    </w:p>
    <w:p w14:paraId="5E07555A" w14:textId="77777777" w:rsidR="00102E3C" w:rsidRPr="009C2138" w:rsidRDefault="00102E3C" w:rsidP="0025638B">
      <w:pPr>
        <w:pStyle w:val="Listparagraf"/>
        <w:spacing w:after="0" w:line="240" w:lineRule="auto"/>
        <w:ind w:left="0"/>
        <w:jc w:val="both"/>
        <w:rPr>
          <w:rFonts w:ascii="Times New Roman" w:hAnsi="Times New Roman" w:cs="Times New Roman"/>
          <w:b/>
          <w:color w:val="000000" w:themeColor="text1"/>
          <w:sz w:val="24"/>
          <w:szCs w:val="24"/>
        </w:rPr>
      </w:pPr>
    </w:p>
    <w:p w14:paraId="5A623AAE"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r w:rsidRPr="009C2138">
        <w:rPr>
          <w:rFonts w:ascii="Times New Roman" w:hAnsi="Times New Roman" w:cs="Times New Roman"/>
          <w:b/>
          <w:color w:val="000000" w:themeColor="text1"/>
          <w:sz w:val="24"/>
          <w:szCs w:val="24"/>
        </w:rPr>
        <w:t>Fișa de monitorizare</w:t>
      </w:r>
    </w:p>
    <w:p w14:paraId="05720F03"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Fișa de monitorizare, în funcție de categoria conținuturilor monitorizate, cuprinde indicatori cantitativi/calitativi respectivi și codurile atribuite pentru calificative.</w:t>
      </w:r>
    </w:p>
    <w:p w14:paraId="03B6ABDA"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 xml:space="preserve">Monitorul completează toate datele solicitate de Fișă pentru fiecare element monitorizat (știre/subiect/rubrică/parte de program/program). </w:t>
      </w:r>
    </w:p>
    <w:p w14:paraId="11EB81CC"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Unui element de conținut monitorizat îi corespunde un rând în Fișa de monitorizare.</w:t>
      </w:r>
    </w:p>
    <w:p w14:paraId="12DF1A0C"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 xml:space="preserve">Fișa de monitorizare conține datele monitorizării unui singur FSM. </w:t>
      </w:r>
    </w:p>
    <w:p w14:paraId="13F6F4E9"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 xml:space="preserve">Fișa indică FSM monitorizat; conținutul monitorizat și numele monitorului. </w:t>
      </w:r>
    </w:p>
    <w:p w14:paraId="041E4B1E"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Fița de monitorizare poate fi în format word, dar este preferat formatul Excel pentru eficientizarea completării și, mai ales, a efectuării calculelor.</w:t>
      </w:r>
    </w:p>
    <w:p w14:paraId="1934616B"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Modelul de Fișă folosit de CA, pentru monitorizarea programelor de știri și actualități și pentru emisiunile de informare electorală, poate fi similar celui prezentat mai jos:</w:t>
      </w:r>
    </w:p>
    <w:p w14:paraId="0989FD19"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p>
    <w:p w14:paraId="0DBF568A"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r w:rsidRPr="009C2138">
        <w:rPr>
          <w:rFonts w:ascii="Times New Roman" w:hAnsi="Times New Roman" w:cs="Times New Roman"/>
          <w:b/>
          <w:color w:val="000000" w:themeColor="text1"/>
          <w:sz w:val="24"/>
          <w:szCs w:val="24"/>
        </w:rPr>
        <w:t>Fișă de monitorizare</w:t>
      </w:r>
    </w:p>
    <w:p w14:paraId="0067B74A"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r w:rsidRPr="009C2138">
        <w:rPr>
          <w:rFonts w:ascii="Times New Roman" w:hAnsi="Times New Roman" w:cs="Times New Roman"/>
          <w:b/>
          <w:color w:val="000000" w:themeColor="text1"/>
          <w:sz w:val="24"/>
          <w:szCs w:val="24"/>
        </w:rPr>
        <w:t>FSM______________________________ conținut monitorizat_________________________________________monitor__________________________</w:t>
      </w:r>
    </w:p>
    <w:tbl>
      <w:tblPr>
        <w:tblStyle w:val="Tabelgril"/>
        <w:tblW w:w="0" w:type="auto"/>
        <w:tblLook w:val="04A0" w:firstRow="1" w:lastRow="0" w:firstColumn="1" w:lastColumn="0" w:noHBand="0" w:noVBand="1"/>
      </w:tblPr>
      <w:tblGrid>
        <w:gridCol w:w="342"/>
        <w:gridCol w:w="296"/>
        <w:gridCol w:w="216"/>
        <w:gridCol w:w="216"/>
        <w:gridCol w:w="244"/>
        <w:gridCol w:w="305"/>
        <w:gridCol w:w="274"/>
        <w:gridCol w:w="277"/>
        <w:gridCol w:w="243"/>
        <w:gridCol w:w="216"/>
        <w:gridCol w:w="216"/>
        <w:gridCol w:w="264"/>
        <w:gridCol w:w="318"/>
        <w:gridCol w:w="294"/>
        <w:gridCol w:w="274"/>
        <w:gridCol w:w="271"/>
        <w:gridCol w:w="288"/>
        <w:gridCol w:w="243"/>
        <w:gridCol w:w="271"/>
        <w:gridCol w:w="277"/>
        <w:gridCol w:w="276"/>
        <w:gridCol w:w="314"/>
        <w:gridCol w:w="340"/>
        <w:gridCol w:w="295"/>
        <w:gridCol w:w="312"/>
        <w:gridCol w:w="274"/>
        <w:gridCol w:w="291"/>
        <w:gridCol w:w="289"/>
        <w:gridCol w:w="274"/>
        <w:gridCol w:w="301"/>
        <w:gridCol w:w="294"/>
        <w:gridCol w:w="216"/>
        <w:gridCol w:w="216"/>
        <w:gridCol w:w="303"/>
        <w:gridCol w:w="288"/>
      </w:tblGrid>
      <w:tr w:rsidR="00102E3C" w:rsidRPr="009C2138" w14:paraId="71CA9242" w14:textId="77777777" w:rsidTr="00D3584F">
        <w:tc>
          <w:tcPr>
            <w:tcW w:w="1002" w:type="dxa"/>
            <w:gridSpan w:val="2"/>
          </w:tcPr>
          <w:p w14:paraId="25EF4C7B"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Data/ora</w:t>
            </w:r>
          </w:p>
        </w:tc>
        <w:tc>
          <w:tcPr>
            <w:tcW w:w="2864" w:type="dxa"/>
            <w:gridSpan w:val="7"/>
          </w:tcPr>
          <w:p w14:paraId="6855BFCF"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Număr / caracter / limbă</w:t>
            </w:r>
          </w:p>
        </w:tc>
        <w:tc>
          <w:tcPr>
            <w:tcW w:w="979" w:type="dxa"/>
            <w:gridSpan w:val="3"/>
          </w:tcPr>
          <w:p w14:paraId="3CAC481C"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temă</w:t>
            </w:r>
          </w:p>
        </w:tc>
        <w:tc>
          <w:tcPr>
            <w:tcW w:w="1120" w:type="dxa"/>
            <w:gridSpan w:val="2"/>
          </w:tcPr>
          <w:p w14:paraId="385720D4"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durată</w:t>
            </w:r>
          </w:p>
        </w:tc>
        <w:tc>
          <w:tcPr>
            <w:tcW w:w="2289" w:type="dxa"/>
            <w:gridSpan w:val="5"/>
          </w:tcPr>
          <w:p w14:paraId="019349E0"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protagoniști</w:t>
            </w:r>
          </w:p>
        </w:tc>
        <w:tc>
          <w:tcPr>
            <w:tcW w:w="946" w:type="dxa"/>
            <w:gridSpan w:val="2"/>
          </w:tcPr>
          <w:p w14:paraId="0A85B639"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gender</w:t>
            </w:r>
          </w:p>
        </w:tc>
        <w:tc>
          <w:tcPr>
            <w:tcW w:w="987" w:type="dxa"/>
            <w:gridSpan w:val="2"/>
          </w:tcPr>
          <w:p w14:paraId="46AC63C0"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intervenție</w:t>
            </w:r>
          </w:p>
        </w:tc>
        <w:tc>
          <w:tcPr>
            <w:tcW w:w="969" w:type="dxa"/>
            <w:gridSpan w:val="2"/>
          </w:tcPr>
          <w:p w14:paraId="5E7BA72F"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atitudine</w:t>
            </w:r>
          </w:p>
        </w:tc>
        <w:tc>
          <w:tcPr>
            <w:tcW w:w="951" w:type="dxa"/>
            <w:gridSpan w:val="2"/>
          </w:tcPr>
          <w:p w14:paraId="48C9A3EB"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calitate</w:t>
            </w:r>
          </w:p>
        </w:tc>
        <w:tc>
          <w:tcPr>
            <w:tcW w:w="956" w:type="dxa"/>
            <w:gridSpan w:val="2"/>
          </w:tcPr>
          <w:p w14:paraId="7AA25325"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generic</w:t>
            </w:r>
          </w:p>
        </w:tc>
        <w:tc>
          <w:tcPr>
            <w:tcW w:w="937" w:type="dxa"/>
            <w:gridSpan w:val="2"/>
          </w:tcPr>
          <w:p w14:paraId="405CBE68"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acces</w:t>
            </w:r>
          </w:p>
        </w:tc>
        <w:tc>
          <w:tcPr>
            <w:tcW w:w="1388" w:type="dxa"/>
            <w:gridSpan w:val="4"/>
          </w:tcPr>
          <w:p w14:paraId="4101814F"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sondaje</w:t>
            </w:r>
          </w:p>
        </w:tc>
      </w:tr>
      <w:tr w:rsidR="00102E3C" w:rsidRPr="009C2138" w14:paraId="416E345F" w14:textId="77777777" w:rsidTr="00D3584F">
        <w:tc>
          <w:tcPr>
            <w:tcW w:w="496" w:type="dxa"/>
          </w:tcPr>
          <w:p w14:paraId="0359D0A9"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cf</w:t>
            </w:r>
          </w:p>
        </w:tc>
        <w:tc>
          <w:tcPr>
            <w:tcW w:w="517" w:type="dxa"/>
            <w:gridSpan w:val="2"/>
          </w:tcPr>
          <w:p w14:paraId="27A69F6A"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ncf</w:t>
            </w:r>
          </w:p>
        </w:tc>
        <w:tc>
          <w:tcPr>
            <w:tcW w:w="461" w:type="dxa"/>
          </w:tcPr>
          <w:p w14:paraId="3E3E6BF1"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1</w:t>
            </w:r>
          </w:p>
        </w:tc>
        <w:tc>
          <w:tcPr>
            <w:tcW w:w="467" w:type="dxa"/>
          </w:tcPr>
          <w:p w14:paraId="7BBFCC7F"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cc</w:t>
            </w:r>
          </w:p>
        </w:tc>
        <w:tc>
          <w:tcPr>
            <w:tcW w:w="546" w:type="dxa"/>
          </w:tcPr>
          <w:p w14:paraId="08151D13"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cnc</w:t>
            </w:r>
          </w:p>
        </w:tc>
        <w:tc>
          <w:tcPr>
            <w:tcW w:w="468" w:type="dxa"/>
          </w:tcPr>
          <w:p w14:paraId="2D091BF9"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ro</w:t>
            </w:r>
          </w:p>
        </w:tc>
        <w:tc>
          <w:tcPr>
            <w:tcW w:w="468" w:type="dxa"/>
          </w:tcPr>
          <w:p w14:paraId="5182F087"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ru</w:t>
            </w:r>
          </w:p>
        </w:tc>
        <w:tc>
          <w:tcPr>
            <w:tcW w:w="462" w:type="dxa"/>
            <w:gridSpan w:val="2"/>
          </w:tcPr>
          <w:p w14:paraId="2752596A"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a</w:t>
            </w:r>
          </w:p>
        </w:tc>
        <w:tc>
          <w:tcPr>
            <w:tcW w:w="493" w:type="dxa"/>
          </w:tcPr>
          <w:p w14:paraId="1D3D0057"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rl</w:t>
            </w:r>
          </w:p>
        </w:tc>
        <w:tc>
          <w:tcPr>
            <w:tcW w:w="467" w:type="dxa"/>
          </w:tcPr>
          <w:p w14:paraId="4842D25C"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irl</w:t>
            </w:r>
          </w:p>
        </w:tc>
        <w:tc>
          <w:tcPr>
            <w:tcW w:w="589" w:type="dxa"/>
          </w:tcPr>
          <w:p w14:paraId="468CFB92"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min</w:t>
            </w:r>
          </w:p>
        </w:tc>
        <w:tc>
          <w:tcPr>
            <w:tcW w:w="531" w:type="dxa"/>
          </w:tcPr>
          <w:p w14:paraId="299BFC50"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sec</w:t>
            </w:r>
          </w:p>
        </w:tc>
        <w:tc>
          <w:tcPr>
            <w:tcW w:w="453" w:type="dxa"/>
          </w:tcPr>
          <w:p w14:paraId="602B4E98"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oe</w:t>
            </w:r>
          </w:p>
        </w:tc>
        <w:tc>
          <w:tcPr>
            <w:tcW w:w="460" w:type="dxa"/>
          </w:tcPr>
          <w:p w14:paraId="78730CA2"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os</w:t>
            </w:r>
          </w:p>
        </w:tc>
        <w:tc>
          <w:tcPr>
            <w:tcW w:w="459" w:type="dxa"/>
          </w:tcPr>
          <w:p w14:paraId="70B8A6DF"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cel</w:t>
            </w:r>
          </w:p>
        </w:tc>
        <w:tc>
          <w:tcPr>
            <w:tcW w:w="459" w:type="dxa"/>
          </w:tcPr>
          <w:p w14:paraId="76E6BB4F"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e</w:t>
            </w:r>
          </w:p>
        </w:tc>
        <w:tc>
          <w:tcPr>
            <w:tcW w:w="458" w:type="dxa"/>
          </w:tcPr>
          <w:p w14:paraId="0CACC11C"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cr</w:t>
            </w:r>
          </w:p>
        </w:tc>
        <w:tc>
          <w:tcPr>
            <w:tcW w:w="477" w:type="dxa"/>
          </w:tcPr>
          <w:p w14:paraId="5A7908F1"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f</w:t>
            </w:r>
          </w:p>
        </w:tc>
        <w:tc>
          <w:tcPr>
            <w:tcW w:w="469" w:type="dxa"/>
          </w:tcPr>
          <w:p w14:paraId="7058E11C"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b</w:t>
            </w:r>
          </w:p>
        </w:tc>
        <w:tc>
          <w:tcPr>
            <w:tcW w:w="496" w:type="dxa"/>
          </w:tcPr>
          <w:p w14:paraId="1CC0EE07"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id</w:t>
            </w:r>
          </w:p>
        </w:tc>
        <w:tc>
          <w:tcPr>
            <w:tcW w:w="491" w:type="dxa"/>
          </w:tcPr>
          <w:p w14:paraId="307849F3"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ind</w:t>
            </w:r>
          </w:p>
        </w:tc>
        <w:tc>
          <w:tcPr>
            <w:tcW w:w="492" w:type="dxa"/>
          </w:tcPr>
          <w:p w14:paraId="11B9CD17"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p</w:t>
            </w:r>
          </w:p>
        </w:tc>
        <w:tc>
          <w:tcPr>
            <w:tcW w:w="477" w:type="dxa"/>
          </w:tcPr>
          <w:p w14:paraId="1FFDAEB8"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np</w:t>
            </w:r>
          </w:p>
        </w:tc>
        <w:tc>
          <w:tcPr>
            <w:tcW w:w="481" w:type="dxa"/>
          </w:tcPr>
          <w:p w14:paraId="622487A2"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ac</w:t>
            </w:r>
          </w:p>
        </w:tc>
        <w:tc>
          <w:tcPr>
            <w:tcW w:w="470" w:type="dxa"/>
          </w:tcPr>
          <w:p w14:paraId="2E7433EF"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iac</w:t>
            </w:r>
          </w:p>
        </w:tc>
        <w:tc>
          <w:tcPr>
            <w:tcW w:w="479" w:type="dxa"/>
          </w:tcPr>
          <w:p w14:paraId="3AF928BF"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pr</w:t>
            </w:r>
          </w:p>
        </w:tc>
        <w:tc>
          <w:tcPr>
            <w:tcW w:w="477" w:type="dxa"/>
          </w:tcPr>
          <w:p w14:paraId="039D07D3"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lp</w:t>
            </w:r>
          </w:p>
        </w:tc>
        <w:tc>
          <w:tcPr>
            <w:tcW w:w="494" w:type="dxa"/>
          </w:tcPr>
          <w:p w14:paraId="3A41D45D"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acc</w:t>
            </w:r>
          </w:p>
        </w:tc>
        <w:tc>
          <w:tcPr>
            <w:tcW w:w="454" w:type="dxa"/>
            <w:gridSpan w:val="2"/>
          </w:tcPr>
          <w:p w14:paraId="0A7CBBCB"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ina</w:t>
            </w:r>
          </w:p>
        </w:tc>
        <w:tc>
          <w:tcPr>
            <w:tcW w:w="460" w:type="dxa"/>
          </w:tcPr>
          <w:p w14:paraId="6E3D2393"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cr</w:t>
            </w:r>
          </w:p>
        </w:tc>
        <w:tc>
          <w:tcPr>
            <w:tcW w:w="459" w:type="dxa"/>
          </w:tcPr>
          <w:p w14:paraId="3A8AAD86"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pcr</w:t>
            </w:r>
          </w:p>
        </w:tc>
        <w:tc>
          <w:tcPr>
            <w:tcW w:w="458" w:type="dxa"/>
          </w:tcPr>
          <w:p w14:paraId="752FAF8A" w14:textId="77777777" w:rsidR="00102E3C" w:rsidRPr="009C2138" w:rsidRDefault="00102E3C" w:rsidP="0025638B">
            <w:pPr>
              <w:spacing w:line="240" w:lineRule="auto"/>
              <w:jc w:val="both"/>
              <w:rPr>
                <w:rFonts w:ascii="Times New Roman" w:hAnsi="Times New Roman" w:cs="Times New Roman"/>
                <w:b/>
                <w:color w:val="000000" w:themeColor="text1"/>
              </w:rPr>
            </w:pPr>
            <w:r w:rsidRPr="009C2138">
              <w:rPr>
                <w:rFonts w:ascii="Times New Roman" w:hAnsi="Times New Roman" w:cs="Times New Roman"/>
                <w:b/>
                <w:color w:val="000000" w:themeColor="text1"/>
              </w:rPr>
              <w:t>icr</w:t>
            </w:r>
          </w:p>
        </w:tc>
      </w:tr>
      <w:tr w:rsidR="00102E3C" w:rsidRPr="009C2138" w14:paraId="48ACD146" w14:textId="77777777" w:rsidTr="00D3584F">
        <w:tc>
          <w:tcPr>
            <w:tcW w:w="496" w:type="dxa"/>
          </w:tcPr>
          <w:p w14:paraId="3BDC0870"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517" w:type="dxa"/>
            <w:gridSpan w:val="2"/>
          </w:tcPr>
          <w:p w14:paraId="033C880F"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61" w:type="dxa"/>
          </w:tcPr>
          <w:p w14:paraId="443C52FC"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67" w:type="dxa"/>
          </w:tcPr>
          <w:p w14:paraId="5948557B"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546" w:type="dxa"/>
          </w:tcPr>
          <w:p w14:paraId="4704288C"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68" w:type="dxa"/>
          </w:tcPr>
          <w:p w14:paraId="05946D09"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68" w:type="dxa"/>
          </w:tcPr>
          <w:p w14:paraId="2A27B482"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62" w:type="dxa"/>
            <w:gridSpan w:val="2"/>
          </w:tcPr>
          <w:p w14:paraId="5044A895"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93" w:type="dxa"/>
          </w:tcPr>
          <w:p w14:paraId="75042F4C"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67" w:type="dxa"/>
          </w:tcPr>
          <w:p w14:paraId="3C976847"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589" w:type="dxa"/>
          </w:tcPr>
          <w:p w14:paraId="17883467"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531" w:type="dxa"/>
          </w:tcPr>
          <w:p w14:paraId="5F4F0744"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53" w:type="dxa"/>
          </w:tcPr>
          <w:p w14:paraId="75D6B037"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60" w:type="dxa"/>
          </w:tcPr>
          <w:p w14:paraId="48331921"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59" w:type="dxa"/>
          </w:tcPr>
          <w:p w14:paraId="6B57D73C"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59" w:type="dxa"/>
          </w:tcPr>
          <w:p w14:paraId="23E9073E"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58" w:type="dxa"/>
          </w:tcPr>
          <w:p w14:paraId="3DC7A579"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77" w:type="dxa"/>
          </w:tcPr>
          <w:p w14:paraId="2F23E588"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69" w:type="dxa"/>
          </w:tcPr>
          <w:p w14:paraId="0F294C54"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96" w:type="dxa"/>
          </w:tcPr>
          <w:p w14:paraId="3E61F5A7"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91" w:type="dxa"/>
          </w:tcPr>
          <w:p w14:paraId="4F19D7EA"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92" w:type="dxa"/>
          </w:tcPr>
          <w:p w14:paraId="2D7D1A74"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77" w:type="dxa"/>
          </w:tcPr>
          <w:p w14:paraId="336CA3F1"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81" w:type="dxa"/>
          </w:tcPr>
          <w:p w14:paraId="69DA192F"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70" w:type="dxa"/>
          </w:tcPr>
          <w:p w14:paraId="6F050899"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79" w:type="dxa"/>
          </w:tcPr>
          <w:p w14:paraId="2F27BE55"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77" w:type="dxa"/>
          </w:tcPr>
          <w:p w14:paraId="22BD9A53"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94" w:type="dxa"/>
          </w:tcPr>
          <w:p w14:paraId="5ED614A7"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54" w:type="dxa"/>
            <w:gridSpan w:val="2"/>
          </w:tcPr>
          <w:p w14:paraId="55E334D7"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60" w:type="dxa"/>
          </w:tcPr>
          <w:p w14:paraId="086F04B6"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59" w:type="dxa"/>
          </w:tcPr>
          <w:p w14:paraId="26145D1C" w14:textId="77777777" w:rsidR="00102E3C" w:rsidRPr="009C2138" w:rsidRDefault="00102E3C" w:rsidP="0025638B">
            <w:pPr>
              <w:spacing w:line="240" w:lineRule="auto"/>
              <w:jc w:val="both"/>
              <w:rPr>
                <w:rFonts w:ascii="Times New Roman" w:hAnsi="Times New Roman" w:cs="Times New Roman"/>
                <w:color w:val="000000" w:themeColor="text1"/>
              </w:rPr>
            </w:pPr>
          </w:p>
        </w:tc>
        <w:tc>
          <w:tcPr>
            <w:tcW w:w="458" w:type="dxa"/>
          </w:tcPr>
          <w:p w14:paraId="7644CE57" w14:textId="77777777" w:rsidR="00102E3C" w:rsidRPr="009C2138" w:rsidRDefault="00102E3C" w:rsidP="0025638B">
            <w:pPr>
              <w:spacing w:line="240" w:lineRule="auto"/>
              <w:jc w:val="both"/>
              <w:rPr>
                <w:rFonts w:ascii="Times New Roman" w:hAnsi="Times New Roman" w:cs="Times New Roman"/>
                <w:color w:val="000000" w:themeColor="text1"/>
              </w:rPr>
            </w:pPr>
          </w:p>
        </w:tc>
      </w:tr>
      <w:tr w:rsidR="00102E3C" w:rsidRPr="009C2138" w14:paraId="241D0E41" w14:textId="77777777" w:rsidTr="00D3584F">
        <w:tc>
          <w:tcPr>
            <w:tcW w:w="496" w:type="dxa"/>
          </w:tcPr>
          <w:p w14:paraId="28E53309"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517" w:type="dxa"/>
            <w:gridSpan w:val="2"/>
          </w:tcPr>
          <w:p w14:paraId="7BE3BA7B"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61" w:type="dxa"/>
          </w:tcPr>
          <w:p w14:paraId="6A75F532"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67" w:type="dxa"/>
          </w:tcPr>
          <w:p w14:paraId="4A4C6A63"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546" w:type="dxa"/>
          </w:tcPr>
          <w:p w14:paraId="709A2F07"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68" w:type="dxa"/>
          </w:tcPr>
          <w:p w14:paraId="660B224A"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68" w:type="dxa"/>
          </w:tcPr>
          <w:p w14:paraId="542F6FBC"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62" w:type="dxa"/>
            <w:gridSpan w:val="2"/>
          </w:tcPr>
          <w:p w14:paraId="3ADE6CFE"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93" w:type="dxa"/>
          </w:tcPr>
          <w:p w14:paraId="0208231F"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67" w:type="dxa"/>
          </w:tcPr>
          <w:p w14:paraId="0D37FD62"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589" w:type="dxa"/>
          </w:tcPr>
          <w:p w14:paraId="38005705"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531" w:type="dxa"/>
          </w:tcPr>
          <w:p w14:paraId="0017310E"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53" w:type="dxa"/>
          </w:tcPr>
          <w:p w14:paraId="14C18CE7"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60" w:type="dxa"/>
          </w:tcPr>
          <w:p w14:paraId="604730D7"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59" w:type="dxa"/>
          </w:tcPr>
          <w:p w14:paraId="26299512"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59" w:type="dxa"/>
          </w:tcPr>
          <w:p w14:paraId="2448A98F"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58" w:type="dxa"/>
          </w:tcPr>
          <w:p w14:paraId="129D9A82"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77" w:type="dxa"/>
          </w:tcPr>
          <w:p w14:paraId="433D329C"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69" w:type="dxa"/>
          </w:tcPr>
          <w:p w14:paraId="1DCB6C28"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96" w:type="dxa"/>
          </w:tcPr>
          <w:p w14:paraId="2000FA13"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91" w:type="dxa"/>
          </w:tcPr>
          <w:p w14:paraId="60865F93"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92" w:type="dxa"/>
          </w:tcPr>
          <w:p w14:paraId="1E0D7ED8"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77" w:type="dxa"/>
          </w:tcPr>
          <w:p w14:paraId="06C7E24A"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81" w:type="dxa"/>
          </w:tcPr>
          <w:p w14:paraId="3D40DEBD"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70" w:type="dxa"/>
          </w:tcPr>
          <w:p w14:paraId="7CADD8CA"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79" w:type="dxa"/>
          </w:tcPr>
          <w:p w14:paraId="3462BF4F"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77" w:type="dxa"/>
          </w:tcPr>
          <w:p w14:paraId="4B521257"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94" w:type="dxa"/>
          </w:tcPr>
          <w:p w14:paraId="269668E0"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54" w:type="dxa"/>
            <w:gridSpan w:val="2"/>
          </w:tcPr>
          <w:p w14:paraId="734227F9"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60" w:type="dxa"/>
          </w:tcPr>
          <w:p w14:paraId="4C046A0D"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59" w:type="dxa"/>
          </w:tcPr>
          <w:p w14:paraId="60655275"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58" w:type="dxa"/>
          </w:tcPr>
          <w:p w14:paraId="2A193543"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r>
      <w:tr w:rsidR="00102E3C" w:rsidRPr="009C2138" w14:paraId="08512174" w14:textId="77777777" w:rsidTr="00D3584F">
        <w:tblPrEx>
          <w:jc w:val="right"/>
        </w:tblPrEx>
        <w:trPr>
          <w:jc w:val="right"/>
        </w:trPr>
        <w:tc>
          <w:tcPr>
            <w:tcW w:w="15388" w:type="dxa"/>
            <w:gridSpan w:val="35"/>
          </w:tcPr>
          <w:p w14:paraId="09B88EF6" w14:textId="77777777" w:rsidR="00102E3C" w:rsidRPr="009C2138" w:rsidRDefault="00102E3C" w:rsidP="0025638B">
            <w:pPr>
              <w:spacing w:line="240" w:lineRule="auto"/>
              <w:jc w:val="both"/>
              <w:rPr>
                <w:rFonts w:ascii="Times New Roman" w:hAnsi="Times New Roman" w:cs="Times New Roman"/>
                <w:b/>
                <w:color w:val="000000" w:themeColor="text1"/>
                <w:sz w:val="24"/>
                <w:szCs w:val="24"/>
              </w:rPr>
            </w:pPr>
            <w:r w:rsidRPr="009C2138">
              <w:rPr>
                <w:rFonts w:ascii="Times New Roman" w:hAnsi="Times New Roman" w:cs="Times New Roman"/>
                <w:b/>
                <w:color w:val="000000" w:themeColor="text1"/>
                <w:sz w:val="24"/>
                <w:szCs w:val="24"/>
              </w:rPr>
              <w:t>Total</w:t>
            </w:r>
          </w:p>
        </w:tc>
      </w:tr>
      <w:tr w:rsidR="00102E3C" w:rsidRPr="009C2138" w14:paraId="3E788B0B" w14:textId="77777777" w:rsidTr="00D3584F">
        <w:tc>
          <w:tcPr>
            <w:tcW w:w="496" w:type="dxa"/>
          </w:tcPr>
          <w:p w14:paraId="2B7D0774"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517" w:type="dxa"/>
            <w:gridSpan w:val="2"/>
          </w:tcPr>
          <w:p w14:paraId="7693BC56"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61" w:type="dxa"/>
          </w:tcPr>
          <w:p w14:paraId="1CAD2F39"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67" w:type="dxa"/>
          </w:tcPr>
          <w:p w14:paraId="3AF95A79"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546" w:type="dxa"/>
          </w:tcPr>
          <w:p w14:paraId="0B10B9B7"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68" w:type="dxa"/>
          </w:tcPr>
          <w:p w14:paraId="1BB14839"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68" w:type="dxa"/>
          </w:tcPr>
          <w:p w14:paraId="7B2C62A8"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62" w:type="dxa"/>
            <w:gridSpan w:val="2"/>
          </w:tcPr>
          <w:p w14:paraId="70D1D0D2"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93" w:type="dxa"/>
          </w:tcPr>
          <w:p w14:paraId="3C4509FE"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67" w:type="dxa"/>
          </w:tcPr>
          <w:p w14:paraId="3F9D18EF"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589" w:type="dxa"/>
          </w:tcPr>
          <w:p w14:paraId="08D2637E"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531" w:type="dxa"/>
          </w:tcPr>
          <w:p w14:paraId="0A3F8403"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53" w:type="dxa"/>
          </w:tcPr>
          <w:p w14:paraId="41B81326"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60" w:type="dxa"/>
          </w:tcPr>
          <w:p w14:paraId="4DC36B26"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59" w:type="dxa"/>
          </w:tcPr>
          <w:p w14:paraId="5CF2828B"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59" w:type="dxa"/>
          </w:tcPr>
          <w:p w14:paraId="5E87045B"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58" w:type="dxa"/>
          </w:tcPr>
          <w:p w14:paraId="7CBF0C8B"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77" w:type="dxa"/>
          </w:tcPr>
          <w:p w14:paraId="48512981"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69" w:type="dxa"/>
          </w:tcPr>
          <w:p w14:paraId="6CB22130"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96" w:type="dxa"/>
          </w:tcPr>
          <w:p w14:paraId="08B01ACA"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91" w:type="dxa"/>
          </w:tcPr>
          <w:p w14:paraId="67005DAB"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92" w:type="dxa"/>
          </w:tcPr>
          <w:p w14:paraId="1416625C"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77" w:type="dxa"/>
          </w:tcPr>
          <w:p w14:paraId="39C812DA"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81" w:type="dxa"/>
          </w:tcPr>
          <w:p w14:paraId="4B880E36"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70" w:type="dxa"/>
          </w:tcPr>
          <w:p w14:paraId="3D95FF5D"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79" w:type="dxa"/>
          </w:tcPr>
          <w:p w14:paraId="3E727325"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77" w:type="dxa"/>
          </w:tcPr>
          <w:p w14:paraId="47B81C8C"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94" w:type="dxa"/>
          </w:tcPr>
          <w:p w14:paraId="7D2BF2FC"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54" w:type="dxa"/>
            <w:gridSpan w:val="2"/>
          </w:tcPr>
          <w:p w14:paraId="1A159C5E"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60" w:type="dxa"/>
          </w:tcPr>
          <w:p w14:paraId="4A1C8E80"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59" w:type="dxa"/>
          </w:tcPr>
          <w:p w14:paraId="4493A1DC"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c>
          <w:tcPr>
            <w:tcW w:w="458" w:type="dxa"/>
          </w:tcPr>
          <w:p w14:paraId="6EB55B32" w14:textId="77777777" w:rsidR="00102E3C" w:rsidRPr="009C2138" w:rsidRDefault="00102E3C" w:rsidP="0025638B">
            <w:pPr>
              <w:spacing w:line="240" w:lineRule="auto"/>
              <w:jc w:val="both"/>
              <w:rPr>
                <w:rFonts w:ascii="Times New Roman" w:hAnsi="Times New Roman" w:cs="Times New Roman"/>
                <w:color w:val="000000" w:themeColor="text1"/>
                <w:sz w:val="24"/>
                <w:szCs w:val="24"/>
              </w:rPr>
            </w:pPr>
          </w:p>
        </w:tc>
      </w:tr>
    </w:tbl>
    <w:p w14:paraId="317B04D5" w14:textId="77777777" w:rsidR="00102E3C" w:rsidRDefault="00102E3C" w:rsidP="0025638B">
      <w:pPr>
        <w:spacing w:after="0" w:line="240" w:lineRule="auto"/>
        <w:jc w:val="both"/>
        <w:rPr>
          <w:rFonts w:ascii="Times New Roman" w:hAnsi="Times New Roman" w:cs="Times New Roman"/>
          <w:b/>
          <w:color w:val="000000" w:themeColor="text1"/>
          <w:sz w:val="24"/>
          <w:szCs w:val="24"/>
        </w:rPr>
      </w:pPr>
    </w:p>
    <w:p w14:paraId="50D1D711" w14:textId="77777777" w:rsidR="006D0D9B" w:rsidRPr="009C2138" w:rsidRDefault="006D0D9B" w:rsidP="0025638B">
      <w:pPr>
        <w:spacing w:after="0" w:line="240" w:lineRule="auto"/>
        <w:jc w:val="both"/>
        <w:rPr>
          <w:rFonts w:ascii="Times New Roman" w:hAnsi="Times New Roman" w:cs="Times New Roman"/>
          <w:b/>
          <w:color w:val="000000" w:themeColor="text1"/>
          <w:sz w:val="24"/>
          <w:szCs w:val="24"/>
        </w:rPr>
      </w:pPr>
    </w:p>
    <w:p w14:paraId="57751F11"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r w:rsidRPr="009C2138">
        <w:rPr>
          <w:rFonts w:ascii="Times New Roman" w:hAnsi="Times New Roman" w:cs="Times New Roman"/>
          <w:b/>
          <w:color w:val="000000" w:themeColor="text1"/>
          <w:sz w:val="24"/>
          <w:szCs w:val="24"/>
        </w:rPr>
        <w:lastRenderedPageBreak/>
        <w:t>Colectare date</w:t>
      </w:r>
    </w:p>
    <w:p w14:paraId="4335B827"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Datele sunt colectate, în principal, pentru întreaga perioadă de monitorizare și pentru toate conținuturile monitorizate.</w:t>
      </w:r>
    </w:p>
    <w:p w14:paraId="7EE675FF"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6A49C2ED"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Datele sunt colectate separat pentru fiecare FSM monitorizat.</w:t>
      </w:r>
    </w:p>
    <w:p w14:paraId="2AC7F1B7"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5390B75F"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Datele sunt colectate, de regulă, prin sumare, pentru fiecare indicator/criteriu de monitorizare.</w:t>
      </w:r>
    </w:p>
    <w:p w14:paraId="71D792B2"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Inițial, datele colectate reprezintă valori numerice (cifre/numere). De exemplu, pentru indicatorul ”data” – numărul de zile, în care au fost difuzare conținuturi cu caracter electoral; pentru indicatorul ”protagoniști” – numărul total de protagoniști și numărul protagoniștilor din fiecare categorie; pentru indicatorul ”calitate jurnalistică” – numărul de conținuturi acceptabile și numărul de conținuturi inacceptabile etc.</w:t>
      </w:r>
    </w:p>
    <w:p w14:paraId="7623B909"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p>
    <w:p w14:paraId="537E9092"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r w:rsidRPr="009C2138">
        <w:rPr>
          <w:rFonts w:ascii="Times New Roman" w:hAnsi="Times New Roman" w:cs="Times New Roman"/>
          <w:b/>
          <w:color w:val="000000" w:themeColor="text1"/>
          <w:sz w:val="24"/>
          <w:szCs w:val="24"/>
        </w:rPr>
        <w:t>Analiză/interpretare date</w:t>
      </w:r>
    </w:p>
    <w:p w14:paraId="397D0615"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 xml:space="preserve">Sunt analizate datele colectate pentru fiecare indicator și este constatată situația atestată. La necesitate, pot fi comparate datele aceluiași indicator de la toți FSM monitorizați. De exemplu, datele colectate pentru indicatorul ”data” indică la un FSM 3 zile, iar la altul – 7 zile pe parcursul unei săptămâni (perioada de monitorizare) în care au fost difuzate conținuturi cu caracter electoral. Constatarea, în cazul primului FSM e că nu a informat zilnic publicul/alegătorii despre alegeri, spre deosebire de al doilea FSM. Prin urmare, este atestată o abordare diferită de informare a alegătorului în cazul celor doi FSM. Iar compararea datelor acestui indicator în cazul tuturor FSM monitorizați, poate să prezinte tabloul general al informării uniforme/neuniforme a publicului despre procesul electoral; în ce zile este abundență de conținuturi și în ce zile – deficit de conținuturi electorale, precum și cine dintre FSM informează cu regularitate și cine – sporadic/formal. </w:t>
      </w:r>
    </w:p>
    <w:p w14:paraId="0C5F33B1"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3B4EBB88"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 xml:space="preserve">În cazul în care analiza datelor de la un anumit indicator relevă o încălcare a normelor juridice, cazul este tratat cu atenția cuvenită, cu argumentare suficientă pentru o eventuală decizie de descurajare a unor atare practici.  </w:t>
      </w:r>
    </w:p>
    <w:p w14:paraId="567D2D04"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1B34DFC7"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 xml:space="preserve">Analiza trebuie să cuprindă și obligațiile asumate de FSM prin Declarația aprobată de CA, care, după caz, pot întări baza argumentativă. </w:t>
      </w:r>
    </w:p>
    <w:p w14:paraId="5679894B"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0F94DE56"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 xml:space="preserve">În situația în care analiza datelor monitorizării vădește bănuieli rezonabile/suspiciuni de discurs de ură sau de dezinformare, conținuturile în cauză sunt supuse unei analize suplimentare cu aplicarea metodologiilor CA care vizează discursul de ură și/sau dezinformarea. </w:t>
      </w:r>
    </w:p>
    <w:p w14:paraId="5D2245C8"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p>
    <w:p w14:paraId="06DC00DF" w14:textId="77777777" w:rsidR="00102E3C" w:rsidRPr="009C2138" w:rsidRDefault="00102E3C" w:rsidP="0025638B">
      <w:pPr>
        <w:spacing w:after="0" w:line="240" w:lineRule="auto"/>
        <w:jc w:val="both"/>
        <w:rPr>
          <w:rFonts w:ascii="Times New Roman" w:hAnsi="Times New Roman" w:cs="Times New Roman"/>
          <w:b/>
          <w:color w:val="000000" w:themeColor="text1"/>
          <w:sz w:val="24"/>
          <w:szCs w:val="24"/>
        </w:rPr>
      </w:pPr>
      <w:r w:rsidRPr="009C2138">
        <w:rPr>
          <w:rFonts w:ascii="Times New Roman" w:hAnsi="Times New Roman" w:cs="Times New Roman"/>
          <w:b/>
          <w:color w:val="000000" w:themeColor="text1"/>
          <w:sz w:val="24"/>
          <w:szCs w:val="24"/>
        </w:rPr>
        <w:t>Raportul de monitorizare:</w:t>
      </w:r>
    </w:p>
    <w:p w14:paraId="411A1E1D"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 xml:space="preserve">Raportul de monitorizare, ca structură va urma structura Fișei de monitorizare. Prin urmare, raportul are un număr de capitole egal cu cel al indicatorilor plus ”Introducere” și concluziile și recomandările de final. </w:t>
      </w:r>
    </w:p>
    <w:p w14:paraId="220213BB"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44BBB491"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Fiecare compartiment este constituit din două părți. În prima parte sunt prezentate datele și analiza datelor referitoare la un FSM monitorizat, cu constatări/recomandări de rigoare. În partea a doua sunt prezentate datele comparate pentru indicatorul respectiv ale tuturor FSM monitorizați, cu constatări ce reies din analiza comparată. Practic, partea a doua a fiecărui compartiment ar însemna o diagramă relevantă și un comentariu succint al datelor diagramei. Constatările/recomandările orientează membrii CA să acționeze în consecință.</w:t>
      </w:r>
    </w:p>
    <w:p w14:paraId="700AEB06"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6DE748E7"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În ”Introducere” raportul precizează, cel puțin, temeiul legal al monitorizării, FSM monitorizați, perioada monitorizată și conținuturile monitorizate și, după caz, criteriile de monitorizare.</w:t>
      </w:r>
    </w:p>
    <w:p w14:paraId="5CE4AC58"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Concluziile generale din final reies din analiza rezultatelor monitorizării tuturor FSM și pot cuprinde un top al acestora, care să indice cine și cum a funcționat în perioada monitorizată. Fiecărui FSM, în funcție de cum a reflectat alegerile, i se poate atribui un calificativ. De exemplu:</w:t>
      </w:r>
    </w:p>
    <w:p w14:paraId="4BB4917F" w14:textId="77777777" w:rsidR="00102E3C" w:rsidRPr="009C2138" w:rsidRDefault="00102E3C" w:rsidP="0025638B">
      <w:pPr>
        <w:pStyle w:val="Listparagraf"/>
        <w:numPr>
          <w:ilvl w:val="0"/>
          <w:numId w:val="10"/>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lastRenderedPageBreak/>
        <w:t>Corespunzător – celor care au reflectat alegerile fără devieri de la norme</w:t>
      </w:r>
    </w:p>
    <w:p w14:paraId="693E93B2" w14:textId="77777777" w:rsidR="00102E3C" w:rsidRPr="009C2138" w:rsidRDefault="00102E3C" w:rsidP="0025638B">
      <w:pPr>
        <w:pStyle w:val="Listparagraf"/>
        <w:numPr>
          <w:ilvl w:val="0"/>
          <w:numId w:val="10"/>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Acceptabil – celor care au reflectat alegerile cu devieri minore de la norme și care nu au atras sancțiuni</w:t>
      </w:r>
    </w:p>
    <w:p w14:paraId="20B4F659" w14:textId="77777777" w:rsidR="00102E3C" w:rsidRPr="009C2138" w:rsidRDefault="00102E3C" w:rsidP="0025638B">
      <w:pPr>
        <w:pStyle w:val="Listparagraf"/>
        <w:numPr>
          <w:ilvl w:val="0"/>
          <w:numId w:val="10"/>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 xml:space="preserve">Parțial acceptabil – celor care au reflectat alegerile cu devieri de la norme care au atras sancțiuni ușoare </w:t>
      </w:r>
    </w:p>
    <w:p w14:paraId="595B7046" w14:textId="77777777" w:rsidR="00102E3C" w:rsidRPr="009C2138" w:rsidRDefault="00102E3C" w:rsidP="0025638B">
      <w:pPr>
        <w:pStyle w:val="Listparagraf"/>
        <w:numPr>
          <w:ilvl w:val="0"/>
          <w:numId w:val="10"/>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Inacceptabil – celor care au reflectat alegerile cu devieri grave de la norme care au atras sancțiuni grele</w:t>
      </w:r>
    </w:p>
    <w:p w14:paraId="23EF1342"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După caz, numărul de calificative poate fi suplimentat sau redus (acceptabil în măsură mare/medie/mică sau acceptabil/inacceptabil)</w:t>
      </w:r>
    </w:p>
    <w:p w14:paraId="25C29F0C"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365C618E"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 xml:space="preserve">În rapoartele ulterioare de monitorizare (dacă perioada de monitorizare cuprinde perioade intermediare) poate fi urmărită evoluția/involuția comportamentului FSM monitorizați în reflectarea alegerilor. </w:t>
      </w:r>
    </w:p>
    <w:p w14:paraId="11176865"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4A0C9C12"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Raportul final de monitorizare reprezintă o sinteză a rezultatelor monitorizărilor intermediare și oferă o viziune de ansamblu a modului în care FSM monitorizați au reflectat alegerile, cu indicarea reușitelor și eșecurilor, inclusiv al problemelor sistemice (dacă au fost identificate) și soluțiile găsite ori care trebuie găsite.</w:t>
      </w:r>
    </w:p>
    <w:p w14:paraId="60CC2CEA"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13E3E6B3"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Fiecare raport de monitorizare va urmări să demonstreze:</w:t>
      </w:r>
    </w:p>
    <w:p w14:paraId="291624C4" w14:textId="77777777" w:rsidR="00102E3C" w:rsidRPr="009C2138" w:rsidRDefault="00102E3C" w:rsidP="0025638B">
      <w:pPr>
        <w:pStyle w:val="Listparagraf"/>
        <w:numPr>
          <w:ilvl w:val="0"/>
          <w:numId w:val="11"/>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dacă și în ce măsură sunt/nu sunt respectate rigorile juridice pentru conținuturile monitorizate;</w:t>
      </w:r>
    </w:p>
    <w:p w14:paraId="518D2E78" w14:textId="77777777" w:rsidR="00102E3C" w:rsidRPr="009C2138" w:rsidRDefault="00102E3C" w:rsidP="0025638B">
      <w:pPr>
        <w:pStyle w:val="Listparagraf"/>
        <w:numPr>
          <w:ilvl w:val="0"/>
          <w:numId w:val="11"/>
        </w:numPr>
        <w:spacing w:after="0" w:line="240" w:lineRule="auto"/>
        <w:jc w:val="both"/>
        <w:rPr>
          <w:rFonts w:ascii="Times New Roman" w:hAnsi="Times New Roman" w:cs="Times New Roman"/>
          <w:color w:val="000000" w:themeColor="text1"/>
          <w:sz w:val="24"/>
          <w:szCs w:val="24"/>
        </w:rPr>
      </w:pPr>
      <w:r w:rsidRPr="009C2138">
        <w:rPr>
          <w:rFonts w:ascii="Times New Roman" w:hAnsi="Times New Roman" w:cs="Times New Roman"/>
          <w:color w:val="000000" w:themeColor="text1"/>
          <w:sz w:val="24"/>
          <w:szCs w:val="24"/>
        </w:rPr>
        <w:t xml:space="preserve">dacă și în ce măsură sunt/nu sunt onorate angajamentele din Declarațiile aprobate de CA ale FSM monitorizați. </w:t>
      </w:r>
    </w:p>
    <w:p w14:paraId="303CA56F"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21A3661F"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14918217" w14:textId="77777777" w:rsidR="00102E3C" w:rsidRPr="009C2138" w:rsidRDefault="00102E3C" w:rsidP="0025638B">
      <w:pPr>
        <w:spacing w:after="0" w:line="240" w:lineRule="auto"/>
        <w:jc w:val="both"/>
        <w:rPr>
          <w:rFonts w:ascii="Times New Roman" w:hAnsi="Times New Roman" w:cs="Times New Roman"/>
          <w:color w:val="000000" w:themeColor="text1"/>
          <w:sz w:val="24"/>
          <w:szCs w:val="24"/>
        </w:rPr>
      </w:pPr>
    </w:p>
    <w:p w14:paraId="02542C2B" w14:textId="77777777" w:rsidR="00300121" w:rsidRPr="009C2138" w:rsidRDefault="00300121" w:rsidP="0025638B">
      <w:pPr>
        <w:spacing w:line="240" w:lineRule="auto"/>
        <w:jc w:val="both"/>
        <w:rPr>
          <w:rFonts w:ascii="Times New Roman" w:hAnsi="Times New Roman" w:cs="Times New Roman"/>
        </w:rPr>
      </w:pPr>
    </w:p>
    <w:sectPr w:rsidR="00300121" w:rsidRPr="009C2138" w:rsidSect="001226DF">
      <w:footerReference w:type="default" r:id="rId8"/>
      <w:pgSz w:w="11906" w:h="16838"/>
      <w:pgMar w:top="851" w:right="567" w:bottom="851" w:left="170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176595" w14:textId="77777777" w:rsidR="001226DF" w:rsidRDefault="001226DF" w:rsidP="0025638B">
      <w:pPr>
        <w:spacing w:after="0" w:line="240" w:lineRule="auto"/>
      </w:pPr>
      <w:r>
        <w:separator/>
      </w:r>
    </w:p>
  </w:endnote>
  <w:endnote w:type="continuationSeparator" w:id="0">
    <w:p w14:paraId="7F97A6D2" w14:textId="77777777" w:rsidR="001226DF" w:rsidRDefault="001226DF" w:rsidP="002563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4508622"/>
      <w:docPartObj>
        <w:docPartGallery w:val="Page Numbers (Bottom of Page)"/>
        <w:docPartUnique/>
      </w:docPartObj>
    </w:sdtPr>
    <w:sdtEndPr>
      <w:rPr>
        <w:rFonts w:ascii="Times New Roman" w:hAnsi="Times New Roman" w:cs="Times New Roman"/>
        <w:sz w:val="24"/>
        <w:szCs w:val="24"/>
      </w:rPr>
    </w:sdtEndPr>
    <w:sdtContent>
      <w:p w14:paraId="5F083EDD" w14:textId="2624F1B3" w:rsidR="0025638B" w:rsidRPr="0025638B" w:rsidRDefault="0025638B">
        <w:pPr>
          <w:pStyle w:val="Subsol"/>
          <w:jc w:val="right"/>
          <w:rPr>
            <w:rFonts w:ascii="Times New Roman" w:hAnsi="Times New Roman" w:cs="Times New Roman"/>
            <w:sz w:val="24"/>
            <w:szCs w:val="24"/>
          </w:rPr>
        </w:pPr>
        <w:r w:rsidRPr="0025638B">
          <w:rPr>
            <w:rFonts w:ascii="Times New Roman" w:hAnsi="Times New Roman" w:cs="Times New Roman"/>
            <w:sz w:val="24"/>
            <w:szCs w:val="24"/>
          </w:rPr>
          <w:fldChar w:fldCharType="begin"/>
        </w:r>
        <w:r w:rsidRPr="0025638B">
          <w:rPr>
            <w:rFonts w:ascii="Times New Roman" w:hAnsi="Times New Roman" w:cs="Times New Roman"/>
            <w:sz w:val="24"/>
            <w:szCs w:val="24"/>
          </w:rPr>
          <w:instrText>PAGE   \* MERGEFORMAT</w:instrText>
        </w:r>
        <w:r w:rsidRPr="0025638B">
          <w:rPr>
            <w:rFonts w:ascii="Times New Roman" w:hAnsi="Times New Roman" w:cs="Times New Roman"/>
            <w:sz w:val="24"/>
            <w:szCs w:val="24"/>
          </w:rPr>
          <w:fldChar w:fldCharType="separate"/>
        </w:r>
        <w:r w:rsidRPr="0025638B">
          <w:rPr>
            <w:rFonts w:ascii="Times New Roman" w:hAnsi="Times New Roman" w:cs="Times New Roman"/>
            <w:sz w:val="24"/>
            <w:szCs w:val="24"/>
            <w:lang w:val="ro-RO"/>
          </w:rPr>
          <w:t>2</w:t>
        </w:r>
        <w:r w:rsidRPr="0025638B">
          <w:rPr>
            <w:rFonts w:ascii="Times New Roman" w:hAnsi="Times New Roman" w:cs="Times New Roman"/>
            <w:sz w:val="24"/>
            <w:szCs w:val="24"/>
          </w:rPr>
          <w:fldChar w:fldCharType="end"/>
        </w:r>
      </w:p>
    </w:sdtContent>
  </w:sdt>
  <w:p w14:paraId="11C6A2C4" w14:textId="77777777" w:rsidR="0025638B" w:rsidRDefault="0025638B">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0A2069" w14:textId="77777777" w:rsidR="001226DF" w:rsidRDefault="001226DF" w:rsidP="0025638B">
      <w:pPr>
        <w:spacing w:after="0" w:line="240" w:lineRule="auto"/>
      </w:pPr>
      <w:r>
        <w:separator/>
      </w:r>
    </w:p>
  </w:footnote>
  <w:footnote w:type="continuationSeparator" w:id="0">
    <w:p w14:paraId="665EDB81" w14:textId="77777777" w:rsidR="001226DF" w:rsidRDefault="001226DF" w:rsidP="002563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3D51C7"/>
    <w:multiLevelType w:val="hybridMultilevel"/>
    <w:tmpl w:val="F96AF44A"/>
    <w:lvl w:ilvl="0" w:tplc="04190017">
      <w:start w:val="1"/>
      <w:numFmt w:val="low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15:restartNumberingAfterBreak="0">
    <w:nsid w:val="14DE2C96"/>
    <w:multiLevelType w:val="hybridMultilevel"/>
    <w:tmpl w:val="53C4E2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7D1984"/>
    <w:multiLevelType w:val="hybridMultilevel"/>
    <w:tmpl w:val="3DA2D7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F143AB"/>
    <w:multiLevelType w:val="hybridMultilevel"/>
    <w:tmpl w:val="545CA6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CBE38E3"/>
    <w:multiLevelType w:val="hybridMultilevel"/>
    <w:tmpl w:val="248C71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C5001D0"/>
    <w:multiLevelType w:val="hybridMultilevel"/>
    <w:tmpl w:val="846C88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5DC5EF1"/>
    <w:multiLevelType w:val="hybridMultilevel"/>
    <w:tmpl w:val="28B87C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1302E76"/>
    <w:multiLevelType w:val="hybridMultilevel"/>
    <w:tmpl w:val="3BD83A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46840BF"/>
    <w:multiLevelType w:val="hybridMultilevel"/>
    <w:tmpl w:val="47ECA116"/>
    <w:lvl w:ilvl="0" w:tplc="73A85DF2">
      <w:start w:val="1"/>
      <w:numFmt w:val="decimal"/>
      <w:lvlText w:val="%1."/>
      <w:lvlJc w:val="left"/>
      <w:pPr>
        <w:ind w:left="927" w:hanging="360"/>
      </w:pPr>
      <w:rPr>
        <w:rFonts w:hint="default"/>
        <w:b w:val="0"/>
        <w:bCs/>
      </w:rPr>
    </w:lvl>
    <w:lvl w:ilvl="1" w:tplc="08190019" w:tentative="1">
      <w:start w:val="1"/>
      <w:numFmt w:val="lowerLetter"/>
      <w:lvlText w:val="%2."/>
      <w:lvlJc w:val="left"/>
      <w:pPr>
        <w:ind w:left="1647" w:hanging="360"/>
      </w:pPr>
    </w:lvl>
    <w:lvl w:ilvl="2" w:tplc="0819001B" w:tentative="1">
      <w:start w:val="1"/>
      <w:numFmt w:val="lowerRoman"/>
      <w:lvlText w:val="%3."/>
      <w:lvlJc w:val="right"/>
      <w:pPr>
        <w:ind w:left="2367" w:hanging="180"/>
      </w:pPr>
    </w:lvl>
    <w:lvl w:ilvl="3" w:tplc="0819000F" w:tentative="1">
      <w:start w:val="1"/>
      <w:numFmt w:val="decimal"/>
      <w:lvlText w:val="%4."/>
      <w:lvlJc w:val="left"/>
      <w:pPr>
        <w:ind w:left="3087" w:hanging="360"/>
      </w:pPr>
    </w:lvl>
    <w:lvl w:ilvl="4" w:tplc="08190019" w:tentative="1">
      <w:start w:val="1"/>
      <w:numFmt w:val="lowerLetter"/>
      <w:lvlText w:val="%5."/>
      <w:lvlJc w:val="left"/>
      <w:pPr>
        <w:ind w:left="3807" w:hanging="360"/>
      </w:pPr>
    </w:lvl>
    <w:lvl w:ilvl="5" w:tplc="0819001B" w:tentative="1">
      <w:start w:val="1"/>
      <w:numFmt w:val="lowerRoman"/>
      <w:lvlText w:val="%6."/>
      <w:lvlJc w:val="right"/>
      <w:pPr>
        <w:ind w:left="4527" w:hanging="180"/>
      </w:pPr>
    </w:lvl>
    <w:lvl w:ilvl="6" w:tplc="0819000F" w:tentative="1">
      <w:start w:val="1"/>
      <w:numFmt w:val="decimal"/>
      <w:lvlText w:val="%7."/>
      <w:lvlJc w:val="left"/>
      <w:pPr>
        <w:ind w:left="5247" w:hanging="360"/>
      </w:pPr>
    </w:lvl>
    <w:lvl w:ilvl="7" w:tplc="08190019" w:tentative="1">
      <w:start w:val="1"/>
      <w:numFmt w:val="lowerLetter"/>
      <w:lvlText w:val="%8."/>
      <w:lvlJc w:val="left"/>
      <w:pPr>
        <w:ind w:left="5967" w:hanging="360"/>
      </w:pPr>
    </w:lvl>
    <w:lvl w:ilvl="8" w:tplc="0819001B" w:tentative="1">
      <w:start w:val="1"/>
      <w:numFmt w:val="lowerRoman"/>
      <w:lvlText w:val="%9."/>
      <w:lvlJc w:val="right"/>
      <w:pPr>
        <w:ind w:left="6687" w:hanging="180"/>
      </w:pPr>
    </w:lvl>
  </w:abstractNum>
  <w:abstractNum w:abstractNumId="9" w15:restartNumberingAfterBreak="0">
    <w:nsid w:val="75476505"/>
    <w:multiLevelType w:val="hybridMultilevel"/>
    <w:tmpl w:val="9E28F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C2F7AA5"/>
    <w:multiLevelType w:val="hybridMultilevel"/>
    <w:tmpl w:val="CEC01D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E345A6A"/>
    <w:multiLevelType w:val="hybridMultilevel"/>
    <w:tmpl w:val="AF0AA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32121309">
    <w:abstractNumId w:val="0"/>
  </w:num>
  <w:num w:numId="2" w16cid:durableId="1288780461">
    <w:abstractNumId w:val="3"/>
  </w:num>
  <w:num w:numId="3" w16cid:durableId="1246105963">
    <w:abstractNumId w:val="1"/>
  </w:num>
  <w:num w:numId="4" w16cid:durableId="1666399070">
    <w:abstractNumId w:val="11"/>
  </w:num>
  <w:num w:numId="5" w16cid:durableId="1345933828">
    <w:abstractNumId w:val="5"/>
  </w:num>
  <w:num w:numId="6" w16cid:durableId="669916309">
    <w:abstractNumId w:val="10"/>
  </w:num>
  <w:num w:numId="7" w16cid:durableId="665010580">
    <w:abstractNumId w:val="6"/>
  </w:num>
  <w:num w:numId="8" w16cid:durableId="458305623">
    <w:abstractNumId w:val="4"/>
  </w:num>
  <w:num w:numId="9" w16cid:durableId="1110734142">
    <w:abstractNumId w:val="7"/>
  </w:num>
  <w:num w:numId="10" w16cid:durableId="650720022">
    <w:abstractNumId w:val="9"/>
  </w:num>
  <w:num w:numId="11" w16cid:durableId="111561160">
    <w:abstractNumId w:val="2"/>
  </w:num>
  <w:num w:numId="12" w16cid:durableId="90899833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E3C"/>
    <w:rsid w:val="000613F7"/>
    <w:rsid w:val="00066F2E"/>
    <w:rsid w:val="000B76B5"/>
    <w:rsid w:val="000F4089"/>
    <w:rsid w:val="00102E3C"/>
    <w:rsid w:val="001226DF"/>
    <w:rsid w:val="0025638B"/>
    <w:rsid w:val="00300121"/>
    <w:rsid w:val="00353C2C"/>
    <w:rsid w:val="005C3130"/>
    <w:rsid w:val="006D0D9B"/>
    <w:rsid w:val="007104D5"/>
    <w:rsid w:val="009C2138"/>
    <w:rsid w:val="00AF5351"/>
    <w:rsid w:val="00BA0A78"/>
    <w:rsid w:val="00C23939"/>
    <w:rsid w:val="00C50B2B"/>
    <w:rsid w:val="00E06C7A"/>
    <w:rsid w:val="00E93AE7"/>
    <w:rsid w:val="00F87CFE"/>
    <w:rsid w:val="00FB5CCA"/>
    <w:rsid w:val="00FD18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7D64B"/>
  <w15:chartTrackingRefBased/>
  <w15:docId w15:val="{420FDD31-3088-9D4D-A24F-25FF4A548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2E3C"/>
    <w:pPr>
      <w:spacing w:after="160" w:line="259" w:lineRule="auto"/>
    </w:pPr>
    <w:rPr>
      <w:kern w:val="0"/>
      <w:sz w:val="22"/>
      <w:szCs w:val="22"/>
      <w:lang w:val="ro-MD"/>
      <w14:ligatures w14:val="none"/>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styleId="Tabelgril">
    <w:name w:val="Table Grid"/>
    <w:basedOn w:val="TabelNormal"/>
    <w:uiPriority w:val="39"/>
    <w:rsid w:val="00102E3C"/>
    <w:rPr>
      <w:kern w:val="0"/>
      <w:sz w:val="22"/>
      <w:szCs w:val="22"/>
      <w:lang w:val="ru-R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f">
    <w:name w:val="List Paragraph"/>
    <w:basedOn w:val="Normal"/>
    <w:link w:val="ListparagrafCaracter"/>
    <w:uiPriority w:val="34"/>
    <w:qFormat/>
    <w:rsid w:val="00102E3C"/>
    <w:pPr>
      <w:ind w:left="720"/>
      <w:contextualSpacing/>
    </w:pPr>
  </w:style>
  <w:style w:type="character" w:customStyle="1" w:styleId="ListparagrafCaracter">
    <w:name w:val="Listă paragraf Caracter"/>
    <w:link w:val="Listparagraf"/>
    <w:uiPriority w:val="34"/>
    <w:locked/>
    <w:rsid w:val="00FD1845"/>
    <w:rPr>
      <w:kern w:val="0"/>
      <w:sz w:val="22"/>
      <w:szCs w:val="22"/>
      <w:lang w:val="ro-MD"/>
      <w14:ligatures w14:val="none"/>
    </w:rPr>
  </w:style>
  <w:style w:type="paragraph" w:styleId="Antet">
    <w:name w:val="header"/>
    <w:basedOn w:val="Normal"/>
    <w:link w:val="AntetCaracter"/>
    <w:uiPriority w:val="99"/>
    <w:unhideWhenUsed/>
    <w:rsid w:val="0025638B"/>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25638B"/>
    <w:rPr>
      <w:kern w:val="0"/>
      <w:sz w:val="22"/>
      <w:szCs w:val="22"/>
      <w:lang w:val="ro-MD"/>
      <w14:ligatures w14:val="none"/>
    </w:rPr>
  </w:style>
  <w:style w:type="paragraph" w:styleId="Subsol">
    <w:name w:val="footer"/>
    <w:basedOn w:val="Normal"/>
    <w:link w:val="SubsolCaracter"/>
    <w:uiPriority w:val="99"/>
    <w:unhideWhenUsed/>
    <w:rsid w:val="0025638B"/>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25638B"/>
    <w:rPr>
      <w:kern w:val="0"/>
      <w:sz w:val="22"/>
      <w:szCs w:val="22"/>
      <w:lang w:val="ro-MD"/>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87780344">
      <w:bodyDiv w:val="1"/>
      <w:marLeft w:val="0"/>
      <w:marRight w:val="0"/>
      <w:marTop w:val="0"/>
      <w:marBottom w:val="0"/>
      <w:divBdr>
        <w:top w:val="none" w:sz="0" w:space="0" w:color="auto"/>
        <w:left w:val="none" w:sz="0" w:space="0" w:color="auto"/>
        <w:bottom w:val="none" w:sz="0" w:space="0" w:color="auto"/>
        <w:right w:val="none" w:sz="0" w:space="0" w:color="auto"/>
      </w:divBdr>
    </w:div>
    <w:div w:id="2026245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15</Pages>
  <Words>5946</Words>
  <Characters>34492</Characters>
  <Application>Microsoft Office Word</Application>
  <DocSecurity>0</DocSecurity>
  <Lines>287</Lines>
  <Paragraphs>80</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40358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Liliana Vitu</dc:creator>
  <cp:keywords/>
  <dc:description/>
  <cp:lastModifiedBy>Olimpiada Moraru</cp:lastModifiedBy>
  <cp:revision>13</cp:revision>
  <dcterms:created xsi:type="dcterms:W3CDTF">2024-04-22T15:34:00Z</dcterms:created>
  <dcterms:modified xsi:type="dcterms:W3CDTF">2024-04-29T06:34:00Z</dcterms:modified>
</cp:coreProperties>
</file>